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456C5">
      <w:pPr>
        <w:pStyle w:val="12"/>
        <w:spacing w:after="156" w:afterLines="50"/>
        <w:rPr>
          <w:rFonts w:hint="eastAsia" w:cs="Times New Roman"/>
          <w:color w:val="auto"/>
          <w:sz w:val="44"/>
          <w:szCs w:val="44"/>
          <w:lang w:eastAsia="zh-CN"/>
        </w:rPr>
      </w:pPr>
      <w:bookmarkStart w:id="3" w:name="_GoBack"/>
      <w:bookmarkEnd w:id="3"/>
      <w:r>
        <w:rPr>
          <w:rFonts w:hint="eastAsia" w:cs="Times New Roman"/>
          <w:color w:val="auto"/>
          <w:sz w:val="44"/>
          <w:szCs w:val="44"/>
          <w:lang w:eastAsia="zh-CN"/>
        </w:rPr>
        <w:t>内江市高桥水厂城乡供水智慧水务提升改造建设项目专项债券</w:t>
      </w:r>
    </w:p>
    <w:p w14:paraId="4940B0BD">
      <w:pPr>
        <w:pStyle w:val="12"/>
        <w:spacing w:after="156" w:afterLines="50"/>
        <w:rPr>
          <w:rFonts w:hint="eastAsia" w:cs="Times New Roman"/>
          <w:color w:val="auto"/>
          <w:sz w:val="44"/>
          <w:szCs w:val="44"/>
          <w:lang w:eastAsia="zh-CN"/>
        </w:rPr>
      </w:pPr>
      <w:r>
        <w:rPr>
          <w:rFonts w:hint="eastAsia" w:cs="Times New Roman"/>
          <w:color w:val="auto"/>
          <w:sz w:val="44"/>
          <w:szCs w:val="44"/>
          <w:lang w:eastAsia="zh-CN"/>
        </w:rPr>
        <w:t>项目情况</w:t>
      </w:r>
    </w:p>
    <w:p w14:paraId="266EA641">
      <w:pPr>
        <w:shd w:val="clear"/>
        <w:spacing w:line="560" w:lineRule="exact"/>
        <w:ind w:firstLine="640"/>
        <w:rPr>
          <w:rFonts w:ascii="黑体" w:hAnsi="黑体" w:eastAsia="黑体"/>
          <w:color w:val="auto"/>
          <w:sz w:val="32"/>
          <w:szCs w:val="32"/>
          <w:highlight w:val="none"/>
        </w:rPr>
      </w:pPr>
      <w:r>
        <w:rPr>
          <w:rFonts w:hint="eastAsia" w:ascii="黑体" w:hAnsi="黑体" w:eastAsia="黑体"/>
          <w:color w:val="auto"/>
          <w:sz w:val="32"/>
          <w:szCs w:val="32"/>
          <w:highlight w:val="none"/>
        </w:rPr>
        <w:t>一、项目基本情况</w:t>
      </w:r>
    </w:p>
    <w:p w14:paraId="69DFA9B0">
      <w:pPr>
        <w:shd w:val="clear"/>
        <w:spacing w:line="560" w:lineRule="exact"/>
        <w:ind w:firstLine="643"/>
        <w:rPr>
          <w:rFonts w:ascii="楷体_GB2312" w:hAnsi="Calibri" w:eastAsia="楷体_GB2312"/>
          <w:b/>
          <w:color w:val="auto"/>
          <w:sz w:val="32"/>
          <w:szCs w:val="32"/>
          <w:highlight w:val="none"/>
        </w:rPr>
      </w:pPr>
      <w:r>
        <w:rPr>
          <w:rFonts w:hint="eastAsia" w:ascii="楷体_GB2312" w:hAnsi="Calibri" w:eastAsia="楷体_GB2312"/>
          <w:b/>
          <w:color w:val="auto"/>
          <w:sz w:val="32"/>
          <w:szCs w:val="32"/>
          <w:highlight w:val="none"/>
        </w:rPr>
        <w:t>（一）市县及行业专项规划概况</w:t>
      </w:r>
    </w:p>
    <w:p w14:paraId="1C1D3217">
      <w:pPr>
        <w:shd w:val="clear"/>
        <w:ind w:firstLine="480"/>
        <w:rPr>
          <w:color w:val="auto"/>
          <w:highlight w:val="none"/>
        </w:rPr>
      </w:pPr>
      <w:r>
        <w:rPr>
          <w:rFonts w:hint="eastAsia"/>
          <w:color w:val="auto"/>
          <w:highlight w:val="none"/>
        </w:rPr>
        <w:t>内江的城镇体系结构，是以“一心两廊、三城多片”的空间结构，按照“产城一体”的原则，形成十大主要功能片区。内江形成“一环七射线”的城市快速路网结构，以及“一环、多射、两连”的城市结构性主干道系统。通过引绿入城，顺应自然，合理划分功能组团，形成</w:t>
      </w:r>
      <w:r>
        <w:rPr>
          <w:color w:val="auto"/>
          <w:highlight w:val="none"/>
        </w:rPr>
        <w:t>“一区一带、一环多楔”的绿地系统结构。</w:t>
      </w:r>
      <w:r>
        <w:rPr>
          <w:rFonts w:hint="eastAsia"/>
          <w:color w:val="auto"/>
          <w:highlight w:val="none"/>
        </w:rPr>
        <w:t>在景观风貌方面，内江以“山水相拥、城江相对，城野相依”为城市总体形象定位，形成“绿带绕城、绿水穿城、绿楔入城</w:t>
      </w:r>
      <w:r>
        <w:rPr>
          <w:color w:val="auto"/>
          <w:highlight w:val="none"/>
        </w:rPr>
        <w:t>”的景观风貌特色。</w:t>
      </w:r>
    </w:p>
    <w:p w14:paraId="37F2CED6">
      <w:pPr>
        <w:shd w:val="clear"/>
        <w:ind w:firstLine="480"/>
        <w:rPr>
          <w:rFonts w:hint="eastAsia"/>
          <w:color w:val="auto"/>
          <w:highlight w:val="none"/>
        </w:rPr>
      </w:pPr>
      <w:r>
        <w:rPr>
          <w:rFonts w:hint="eastAsia"/>
          <w:color w:val="auto"/>
          <w:highlight w:val="none"/>
        </w:rPr>
        <w:t>四川省“十四五”规划明确，到2025年，全省水利基础设施体系更加完善，水资源配置短板基本补齐，水安全保障效能和抗风险能力显著增强。全面建成系统完备、高效实用、智能绿色、安全可靠的现代化水利体系，水利支撑保障的整体性显著提升。聚焦城乡供水安全，推进水利设施升级改造。构建以引大济岷和长征渠引水工程为骨干、大中小微水利工程协调配套的现代水网体系，全面提升水资源保障能力。加强供水厂站、输配水管网和农村供水设施的更新改造，推进城乡供水一体化建设，扩大公共供水管网覆盖范围。强化水资源节约与保护，完善水质检测监管体系，推进供水系统在线监测全覆盖，全面提升水安全监管水平，筑牢“天府粮仓”灌溉用水和城乡居民生活用水安全防线。</w:t>
      </w:r>
    </w:p>
    <w:p w14:paraId="7D0B34FD">
      <w:pPr>
        <w:shd w:val="clear"/>
        <w:ind w:firstLine="480"/>
        <w:rPr>
          <w:color w:val="auto"/>
          <w:highlight w:val="none"/>
          <w:lang w:bidi="ar"/>
        </w:rPr>
      </w:pPr>
      <w:r>
        <w:rPr>
          <w:rFonts w:hint="eastAsia"/>
          <w:color w:val="auto"/>
          <w:highlight w:val="none"/>
        </w:rPr>
        <w:t>根据《内江市国民经济和社会发展第十四个五年规划和二〇三五年远景目标纲要》，到“十四五”末期，建成现代化水利基础设施体系，为城市功能提升和高质量发展提供坚实支撑。同时，内江市相关水利专项规划明确，至2025年，力争形成“系统完备、高效实用、智能绿色、安全可靠”的水利发展格局。内江市作为成渝地区双城经济圈的重要节点城市，肩负着水资源保障、生态屏障建设和老工业基地转型的多重任务。为适应城市化推进、产业升级、生态保护与民生改善的新要求，迫切需要加快水利基础设施建设提升。重点涵盖城乡供水保障、防洪减灾、水生态修复、灌区现代化改造、智慧水利等关键领域。</w:t>
      </w:r>
    </w:p>
    <w:p w14:paraId="020533C9">
      <w:pPr>
        <w:shd w:val="clear"/>
        <w:spacing w:line="560" w:lineRule="exact"/>
        <w:ind w:firstLine="643"/>
        <w:rPr>
          <w:rFonts w:ascii="楷体_GB2312" w:hAnsi="Calibri" w:eastAsia="楷体_GB2312"/>
          <w:b/>
          <w:color w:val="auto"/>
          <w:sz w:val="32"/>
          <w:szCs w:val="32"/>
          <w:highlight w:val="none"/>
        </w:rPr>
      </w:pPr>
      <w:r>
        <w:rPr>
          <w:rFonts w:hint="eastAsia" w:ascii="楷体_GB2312" w:hAnsi="Calibri" w:eastAsia="楷体_GB2312"/>
          <w:b/>
          <w:color w:val="auto"/>
          <w:sz w:val="32"/>
          <w:szCs w:val="32"/>
          <w:highlight w:val="none"/>
        </w:rPr>
        <w:t>（二）项目情况</w:t>
      </w:r>
    </w:p>
    <w:p w14:paraId="1D1BAB1E">
      <w:pPr>
        <w:shd w:val="clear"/>
        <w:spacing w:line="560" w:lineRule="exact"/>
        <w:ind w:firstLine="643"/>
        <w:rPr>
          <w:rFonts w:ascii="仿宋_GB2312" w:hAnsi="Calibri" w:eastAsia="仿宋_GB2312"/>
          <w:b/>
          <w:color w:val="auto"/>
          <w:sz w:val="32"/>
          <w:szCs w:val="32"/>
          <w:highlight w:val="none"/>
        </w:rPr>
      </w:pPr>
      <w:r>
        <w:rPr>
          <w:rFonts w:hint="eastAsia" w:ascii="仿宋_GB2312" w:hAnsi="Calibri" w:eastAsia="仿宋_GB2312"/>
          <w:b/>
          <w:color w:val="auto"/>
          <w:sz w:val="32"/>
          <w:szCs w:val="32"/>
          <w:highlight w:val="none"/>
        </w:rPr>
        <w:t>1.参与主体</w:t>
      </w:r>
    </w:p>
    <w:p w14:paraId="0C6B1A44">
      <w:pPr>
        <w:shd w:val="clear"/>
        <w:ind w:firstLine="480"/>
        <w:rPr>
          <w:rFonts w:hint="eastAsia"/>
          <w:color w:val="auto"/>
          <w:highlight w:val="none"/>
          <w:lang w:bidi="ar"/>
        </w:rPr>
      </w:pPr>
      <w:r>
        <w:rPr>
          <w:rFonts w:hint="eastAsia"/>
          <w:color w:val="auto"/>
          <w:highlight w:val="none"/>
          <w:lang w:bidi="ar"/>
        </w:rPr>
        <w:t>实施机构（行业主管部门）：</w:t>
      </w:r>
      <w:r>
        <w:rPr>
          <w:rFonts w:hint="eastAsia"/>
          <w:color w:val="auto"/>
          <w:highlight w:val="none"/>
        </w:rPr>
        <w:t>内江高新区城乡融合局</w:t>
      </w:r>
    </w:p>
    <w:p w14:paraId="7D196BEE">
      <w:pPr>
        <w:shd w:val="clear"/>
        <w:ind w:firstLine="480"/>
        <w:rPr>
          <w:color w:val="auto"/>
          <w:highlight w:val="none"/>
          <w:lang w:bidi="ar"/>
        </w:rPr>
      </w:pPr>
      <w:r>
        <w:rPr>
          <w:rFonts w:hint="eastAsia"/>
          <w:color w:val="auto"/>
          <w:highlight w:val="none"/>
          <w:lang w:bidi="ar"/>
        </w:rPr>
        <w:t>项目业主：</w:t>
      </w:r>
      <w:r>
        <w:rPr>
          <w:rFonts w:hint="eastAsia"/>
          <w:color w:val="auto"/>
          <w:highlight w:val="none"/>
          <w:lang w:eastAsia="zh-CN"/>
        </w:rPr>
        <w:t>内江清溪源水业有限公司</w:t>
      </w:r>
    </w:p>
    <w:p w14:paraId="4F732025">
      <w:pPr>
        <w:shd w:val="clear"/>
        <w:spacing w:line="560" w:lineRule="exact"/>
        <w:ind w:firstLine="643"/>
        <w:rPr>
          <w:rFonts w:ascii="仿宋_GB2312" w:hAnsi="Calibri" w:eastAsia="仿宋_GB2312"/>
          <w:b/>
          <w:color w:val="auto"/>
          <w:sz w:val="32"/>
          <w:szCs w:val="32"/>
          <w:highlight w:val="none"/>
        </w:rPr>
      </w:pPr>
      <w:r>
        <w:rPr>
          <w:rFonts w:hint="eastAsia" w:ascii="仿宋_GB2312" w:hAnsi="Calibri" w:eastAsia="仿宋_GB2312"/>
          <w:b/>
          <w:color w:val="auto"/>
          <w:sz w:val="32"/>
          <w:szCs w:val="32"/>
          <w:highlight w:val="none"/>
        </w:rPr>
        <w:t>2</w:t>
      </w:r>
      <w:r>
        <w:rPr>
          <w:rFonts w:ascii="仿宋_GB2312" w:hAnsi="Calibri" w:eastAsia="仿宋_GB2312"/>
          <w:b/>
          <w:color w:val="auto"/>
          <w:sz w:val="32"/>
          <w:szCs w:val="32"/>
          <w:highlight w:val="none"/>
        </w:rPr>
        <w:t>.</w:t>
      </w:r>
      <w:r>
        <w:rPr>
          <w:rFonts w:hint="eastAsia" w:ascii="仿宋_GB2312" w:hAnsi="Calibri" w:eastAsia="仿宋_GB2312"/>
          <w:b/>
          <w:color w:val="auto"/>
          <w:sz w:val="32"/>
          <w:szCs w:val="32"/>
          <w:highlight w:val="none"/>
        </w:rPr>
        <w:t>项目概况</w:t>
      </w:r>
    </w:p>
    <w:p w14:paraId="041EB775">
      <w:pPr>
        <w:shd w:val="clear"/>
        <w:ind w:left="0" w:leftChars="0" w:firstLine="420" w:firstLineChars="0"/>
        <w:rPr>
          <w:rFonts w:hint="eastAsia"/>
          <w:b w:val="0"/>
          <w:bCs w:val="0"/>
          <w:color w:val="auto"/>
          <w:highlight w:val="none"/>
        </w:rPr>
      </w:pPr>
      <w:r>
        <w:rPr>
          <w:rFonts w:hint="eastAsia"/>
          <w:bCs/>
          <w:color w:val="auto"/>
          <w:kern w:val="0"/>
          <w:highlight w:val="none"/>
        </w:rPr>
        <w:t>本项目是</w:t>
      </w:r>
      <w:r>
        <w:rPr>
          <w:rFonts w:hint="eastAsia"/>
          <w:bCs/>
          <w:color w:val="auto"/>
          <w:kern w:val="0"/>
          <w:highlight w:val="none"/>
          <w:lang w:val="en-US" w:eastAsia="zh-CN"/>
        </w:rPr>
        <w:t>农林水利</w:t>
      </w:r>
      <w:r>
        <w:rPr>
          <w:rFonts w:hint="eastAsia"/>
          <w:bCs/>
          <w:color w:val="auto"/>
          <w:kern w:val="0"/>
          <w:highlight w:val="none"/>
        </w:rPr>
        <w:t>，项目总投资估算为</w:t>
      </w:r>
      <w:r>
        <w:rPr>
          <w:rFonts w:hint="eastAsia"/>
          <w:bCs/>
          <w:color w:val="auto"/>
          <w:kern w:val="0"/>
          <w:highlight w:val="none"/>
          <w:lang w:val="en-US" w:eastAsia="zh-CN"/>
        </w:rPr>
        <w:t>10311.00</w:t>
      </w:r>
      <w:r>
        <w:rPr>
          <w:bCs/>
          <w:color w:val="auto"/>
          <w:kern w:val="0"/>
          <w:highlight w:val="none"/>
        </w:rPr>
        <w:t>万元。项目位于</w:t>
      </w:r>
      <w:r>
        <w:rPr>
          <w:rFonts w:hint="eastAsia"/>
          <w:bCs/>
          <w:color w:val="auto"/>
          <w:kern w:val="0"/>
          <w:highlight w:val="none"/>
        </w:rPr>
        <w:t>内江市高新区高桥片区</w:t>
      </w:r>
      <w:r>
        <w:rPr>
          <w:bCs/>
          <w:color w:val="auto"/>
          <w:kern w:val="0"/>
          <w:highlight w:val="none"/>
        </w:rPr>
        <w:t>，</w:t>
      </w:r>
      <w:r>
        <w:rPr>
          <w:rFonts w:hint="eastAsia"/>
          <w:b w:val="0"/>
          <w:bCs w:val="0"/>
          <w:color w:val="auto"/>
          <w:highlight w:val="none"/>
        </w:rPr>
        <w:t>项目覆盖高桥街道及胜利街道桑园社区、前进社区、生产社区等17个社区，5837户居民的日常用水需求，实现日供水量6500立方米。</w:t>
      </w:r>
    </w:p>
    <w:p w14:paraId="07E496AF">
      <w:pPr>
        <w:numPr>
          <w:ilvl w:val="0"/>
          <w:numId w:val="0"/>
        </w:numPr>
        <w:shd w:val="clear"/>
        <w:ind w:left="0" w:leftChars="0" w:firstLine="480" w:firstLineChars="200"/>
        <w:rPr>
          <w:rFonts w:hint="eastAsia"/>
          <w:b w:val="0"/>
          <w:bCs w:val="0"/>
          <w:color w:val="auto"/>
          <w:highlight w:val="none"/>
        </w:rPr>
      </w:pPr>
      <w:r>
        <w:rPr>
          <w:rFonts w:hint="eastAsia"/>
          <w:b w:val="0"/>
          <w:bCs w:val="0"/>
          <w:color w:val="auto"/>
          <w:highlight w:val="none"/>
          <w:lang w:val="en-US" w:eastAsia="zh-CN"/>
        </w:rPr>
        <w:t>①</w:t>
      </w:r>
      <w:r>
        <w:rPr>
          <w:rFonts w:hint="eastAsia"/>
          <w:b w:val="0"/>
          <w:bCs w:val="0"/>
          <w:color w:val="auto"/>
          <w:highlight w:val="none"/>
        </w:rPr>
        <w:t>供水管网改造193060米及高桥镇4732户用户接收改造，同步配套老旧管网维护设备维护工程，全面解决老旧管网输水隐患。</w:t>
      </w:r>
    </w:p>
    <w:p w14:paraId="47143555">
      <w:pPr>
        <w:numPr>
          <w:ilvl w:val="0"/>
          <w:numId w:val="0"/>
        </w:numPr>
        <w:shd w:val="clear"/>
        <w:ind w:left="0" w:leftChars="0" w:firstLine="480" w:firstLineChars="200"/>
        <w:rPr>
          <w:rFonts w:hint="eastAsia"/>
          <w:b w:val="0"/>
          <w:bCs w:val="0"/>
          <w:color w:val="auto"/>
          <w:highlight w:val="none"/>
        </w:rPr>
      </w:pPr>
      <w:r>
        <w:rPr>
          <w:rFonts w:hint="eastAsia"/>
          <w:b w:val="0"/>
          <w:bCs w:val="0"/>
          <w:color w:val="auto"/>
          <w:highlight w:val="none"/>
          <w:lang w:val="en-US" w:eastAsia="zh-CN"/>
        </w:rPr>
        <w:t>②</w:t>
      </w:r>
      <w:r>
        <w:rPr>
          <w:rFonts w:hint="eastAsia"/>
          <w:b w:val="0"/>
          <w:bCs w:val="0"/>
          <w:color w:val="auto"/>
          <w:highlight w:val="none"/>
        </w:rPr>
        <w:t>更换400个智能水表，安装200个智能闸阀，实现用水计量与管网调控智能化；</w:t>
      </w:r>
    </w:p>
    <w:p w14:paraId="01EAA6F4">
      <w:pPr>
        <w:numPr>
          <w:ilvl w:val="0"/>
          <w:numId w:val="0"/>
        </w:numPr>
        <w:shd w:val="clear"/>
        <w:ind w:left="0" w:leftChars="0" w:firstLine="480" w:firstLineChars="200"/>
        <w:rPr>
          <w:rFonts w:hint="eastAsia"/>
          <w:b w:val="0"/>
          <w:bCs w:val="0"/>
          <w:color w:val="auto"/>
          <w:highlight w:val="none"/>
        </w:rPr>
      </w:pPr>
      <w:r>
        <w:rPr>
          <w:rFonts w:hint="eastAsia"/>
          <w:b w:val="0"/>
          <w:bCs w:val="0"/>
          <w:color w:val="auto"/>
          <w:highlight w:val="none"/>
          <w:lang w:val="en-US" w:eastAsia="zh-CN"/>
        </w:rPr>
        <w:t>③</w:t>
      </w:r>
      <w:r>
        <w:rPr>
          <w:rFonts w:hint="eastAsia"/>
          <w:b w:val="0"/>
          <w:bCs w:val="0"/>
          <w:color w:val="auto"/>
          <w:highlight w:val="none"/>
        </w:rPr>
        <w:t>搭建1项智能水务系统，部署2套智能增压加氯设备，以提升供水效率与水质保障能力；</w:t>
      </w:r>
    </w:p>
    <w:p w14:paraId="321C61F0">
      <w:pPr>
        <w:numPr>
          <w:ilvl w:val="0"/>
          <w:numId w:val="0"/>
        </w:numPr>
        <w:shd w:val="clear"/>
        <w:ind w:left="0" w:leftChars="0" w:firstLine="480" w:firstLineChars="200"/>
        <w:rPr>
          <w:rFonts w:hint="eastAsia"/>
          <w:b w:val="0"/>
          <w:bCs w:val="0"/>
          <w:color w:val="auto"/>
          <w:highlight w:val="none"/>
        </w:rPr>
      </w:pPr>
      <w:r>
        <w:rPr>
          <w:rFonts w:hint="eastAsia"/>
          <w:b w:val="0"/>
          <w:bCs w:val="0"/>
          <w:color w:val="auto"/>
          <w:highlight w:val="none"/>
          <w:lang w:val="en-US" w:eastAsia="zh-CN"/>
        </w:rPr>
        <w:t>④</w:t>
      </w:r>
      <w:r>
        <w:rPr>
          <w:rFonts w:hint="eastAsia"/>
          <w:b w:val="0"/>
          <w:bCs w:val="0"/>
          <w:color w:val="auto"/>
          <w:highlight w:val="none"/>
        </w:rPr>
        <w:t>安装2套水厂区域远程监控及警示系统，强化厂区安全管理；</w:t>
      </w:r>
    </w:p>
    <w:p w14:paraId="29853C87">
      <w:pPr>
        <w:numPr>
          <w:ilvl w:val="0"/>
          <w:numId w:val="0"/>
        </w:numPr>
        <w:shd w:val="clear"/>
        <w:ind w:left="0" w:leftChars="0" w:firstLine="480" w:firstLineChars="200"/>
        <w:rPr>
          <w:rFonts w:hint="eastAsia"/>
          <w:b w:val="0"/>
          <w:bCs w:val="0"/>
          <w:color w:val="auto"/>
          <w:highlight w:val="none"/>
        </w:rPr>
      </w:pPr>
      <w:r>
        <w:rPr>
          <w:rFonts w:hint="eastAsia"/>
          <w:b w:val="0"/>
          <w:bCs w:val="0"/>
          <w:color w:val="auto"/>
          <w:highlight w:val="none"/>
          <w:lang w:val="en-US" w:eastAsia="zh-CN"/>
        </w:rPr>
        <w:t>⑤</w:t>
      </w:r>
      <w:r>
        <w:rPr>
          <w:rFonts w:hint="eastAsia"/>
          <w:b w:val="0"/>
          <w:bCs w:val="0"/>
          <w:color w:val="auto"/>
          <w:highlight w:val="none"/>
        </w:rPr>
        <w:t>配置专业抢险设备，保障突发供水问题快速处置；同步推进其他相关零星工程，确保项目功能完整落地。</w:t>
      </w:r>
    </w:p>
    <w:p w14:paraId="69927DBD">
      <w:pPr>
        <w:shd w:val="clear"/>
        <w:ind w:firstLine="480"/>
        <w:rPr>
          <w:bCs/>
          <w:color w:val="auto"/>
          <w:kern w:val="0"/>
          <w:highlight w:val="none"/>
        </w:rPr>
      </w:pPr>
      <w:r>
        <w:rPr>
          <w:bCs/>
          <w:color w:val="auto"/>
          <w:kern w:val="0"/>
          <w:highlight w:val="none"/>
        </w:rPr>
        <w:t>。该项目符合控制性详细规划，已取</w:t>
      </w:r>
      <w:r>
        <w:rPr>
          <w:rFonts w:hint="eastAsia"/>
          <w:bCs/>
          <w:color w:val="auto"/>
          <w:kern w:val="0"/>
          <w:highlight w:val="none"/>
          <w:lang w:val="en-US" w:eastAsia="zh-CN"/>
        </w:rPr>
        <w:t>立项文件、用地文件</w:t>
      </w:r>
      <w:r>
        <w:rPr>
          <w:bCs/>
          <w:color w:val="auto"/>
          <w:kern w:val="0"/>
          <w:highlight w:val="none"/>
        </w:rPr>
        <w:t>等合法合规性文件。</w:t>
      </w:r>
    </w:p>
    <w:p w14:paraId="3B5E2033">
      <w:pPr>
        <w:pStyle w:val="14"/>
        <w:shd w:val="clear"/>
        <w:rPr>
          <w:color w:val="auto"/>
          <w:highlight w:val="none"/>
        </w:rPr>
      </w:pPr>
    </w:p>
    <w:p w14:paraId="4F90ABB8">
      <w:pPr>
        <w:shd w:val="clear"/>
        <w:spacing w:line="560" w:lineRule="exact"/>
        <w:ind w:firstLine="640"/>
        <w:rPr>
          <w:rFonts w:ascii="黑体" w:hAnsi="黑体" w:eastAsia="黑体"/>
          <w:color w:val="auto"/>
          <w:sz w:val="32"/>
          <w:szCs w:val="32"/>
          <w:highlight w:val="none"/>
        </w:rPr>
      </w:pPr>
      <w:r>
        <w:rPr>
          <w:rFonts w:hint="eastAsia" w:ascii="黑体" w:hAnsi="黑体" w:eastAsia="黑体"/>
          <w:color w:val="auto"/>
          <w:sz w:val="32"/>
          <w:szCs w:val="32"/>
          <w:highlight w:val="none"/>
        </w:rPr>
        <w:t>二、经济社会效益分析</w:t>
      </w:r>
    </w:p>
    <w:p w14:paraId="4980884A">
      <w:pPr>
        <w:shd w:val="clear"/>
        <w:rPr>
          <w:rFonts w:hint="eastAsia"/>
          <w:color w:val="auto"/>
          <w:highlight w:val="none"/>
        </w:rPr>
      </w:pPr>
      <w:bookmarkStart w:id="0" w:name="OLE_LINK52"/>
      <w:r>
        <w:rPr>
          <w:rFonts w:hint="eastAsia"/>
          <w:bCs/>
          <w:color w:val="auto"/>
          <w:kern w:val="0"/>
          <w:highlight w:val="none"/>
        </w:rPr>
        <w:t>在经济效益方面，</w:t>
      </w:r>
      <w:r>
        <w:rPr>
          <w:rFonts w:hint="eastAsia"/>
          <w:bCs/>
          <w:color w:val="auto"/>
          <w:kern w:val="0"/>
          <w:highlight w:val="none"/>
          <w:lang w:eastAsia="zh-CN"/>
        </w:rPr>
        <w:t>内江市高桥水厂城乡供水智慧水务提升改造建设项目</w:t>
      </w:r>
      <w:r>
        <w:rPr>
          <w:rFonts w:hint="eastAsia"/>
          <w:bCs/>
          <w:color w:val="auto"/>
          <w:kern w:val="0"/>
          <w:highlight w:val="none"/>
        </w:rPr>
        <w:t>总投资估算为</w:t>
      </w:r>
      <w:r>
        <w:rPr>
          <w:rFonts w:hint="eastAsia"/>
          <w:bCs/>
          <w:color w:val="auto"/>
          <w:kern w:val="0"/>
          <w:highlight w:val="none"/>
          <w:lang w:eastAsia="zh-CN"/>
        </w:rPr>
        <w:t>10311</w:t>
      </w:r>
      <w:r>
        <w:rPr>
          <w:bCs/>
          <w:color w:val="auto"/>
          <w:kern w:val="0"/>
          <w:highlight w:val="none"/>
        </w:rPr>
        <w:t>.00万元。项目建成以后可获得</w:t>
      </w:r>
      <w:r>
        <w:rPr>
          <w:rFonts w:hint="eastAsia"/>
          <w:color w:val="auto"/>
          <w:highlight w:val="none"/>
        </w:rPr>
        <w:t>项目运营收入，主要包含：</w:t>
      </w:r>
      <w:r>
        <w:rPr>
          <w:rFonts w:hint="eastAsia"/>
          <w:color w:val="auto"/>
          <w:highlight w:val="none"/>
          <w:lang w:val="en-US" w:eastAsia="zh-CN"/>
        </w:rPr>
        <w:t>居</w:t>
      </w:r>
      <w:r>
        <w:rPr>
          <w:rFonts w:hint="eastAsia"/>
          <w:color w:val="auto"/>
          <w:highlight w:val="none"/>
        </w:rPr>
        <w:t>民生活用水收入、开户及安装智能水表收入</w:t>
      </w:r>
      <w:r>
        <w:rPr>
          <w:bCs/>
          <w:color w:val="auto"/>
          <w:kern w:val="0"/>
          <w:highlight w:val="none"/>
        </w:rPr>
        <w:t>，可实现项目收入总计为</w:t>
      </w:r>
      <w:r>
        <w:rPr>
          <w:rFonts w:hint="eastAsia"/>
          <w:bCs/>
          <w:color w:val="auto"/>
          <w:kern w:val="0"/>
          <w:highlight w:val="none"/>
          <w:lang w:eastAsia="zh-CN"/>
        </w:rPr>
        <w:t>18819.38</w:t>
      </w:r>
      <w:r>
        <w:rPr>
          <w:bCs/>
          <w:color w:val="auto"/>
          <w:kern w:val="0"/>
          <w:highlight w:val="none"/>
        </w:rPr>
        <w:t>万元，待本项目全部</w:t>
      </w:r>
      <w:r>
        <w:rPr>
          <w:rFonts w:hint="eastAsia"/>
          <w:bCs/>
          <w:color w:val="auto"/>
          <w:kern w:val="0"/>
          <w:highlight w:val="none"/>
          <w:lang w:eastAsia="zh-CN"/>
        </w:rPr>
        <w:t>7000</w:t>
      </w:r>
      <w:r>
        <w:rPr>
          <w:bCs/>
          <w:color w:val="auto"/>
          <w:kern w:val="0"/>
          <w:highlight w:val="none"/>
        </w:rPr>
        <w:t>.00万元专项债到期时，在偿还到期的债券本息后，将仍有</w:t>
      </w:r>
      <w:r>
        <w:rPr>
          <w:rFonts w:hint="eastAsia"/>
          <w:bCs/>
          <w:color w:val="auto"/>
          <w:kern w:val="0"/>
          <w:highlight w:val="none"/>
          <w:lang w:eastAsia="zh-CN"/>
        </w:rPr>
        <w:t>1272.02</w:t>
      </w:r>
      <w:r>
        <w:rPr>
          <w:bCs/>
          <w:color w:val="auto"/>
          <w:kern w:val="0"/>
          <w:highlight w:val="none"/>
        </w:rPr>
        <w:t>万元的累计现金结余。其中：项目债券本息覆盖倍数为</w:t>
      </w:r>
      <w:r>
        <w:rPr>
          <w:rFonts w:hint="eastAsia"/>
          <w:bCs/>
          <w:color w:val="auto"/>
          <w:kern w:val="0"/>
          <w:highlight w:val="none"/>
          <w:lang w:eastAsia="zh-CN"/>
        </w:rPr>
        <w:t>1.07</w:t>
      </w:r>
      <w:r>
        <w:rPr>
          <w:bCs/>
          <w:color w:val="auto"/>
          <w:kern w:val="0"/>
          <w:highlight w:val="none"/>
        </w:rPr>
        <w:t>倍。预期实现的运营净收入能够合理保障偿还融资本金和利息,能够实现项目收益和融资自求平衡。</w:t>
      </w:r>
      <w:r>
        <w:rPr>
          <w:rStyle w:val="18"/>
          <w:rFonts w:hint="eastAsia"/>
          <w:color w:val="auto"/>
          <w:sz w:val="24"/>
          <w:szCs w:val="24"/>
          <w:highlight w:val="none"/>
          <w:lang w:val="en-US" w:eastAsia="zh-CN"/>
        </w:rPr>
        <w:t>本项目建设</w:t>
      </w:r>
      <w:r>
        <w:rPr>
          <w:rFonts w:hint="eastAsia"/>
          <w:color w:val="auto"/>
          <w:sz w:val="24"/>
          <w:szCs w:val="24"/>
          <w:highlight w:val="none"/>
        </w:rPr>
        <w:t>是</w:t>
      </w:r>
      <w:r>
        <w:rPr>
          <w:rFonts w:hint="eastAsia"/>
          <w:color w:val="auto"/>
          <w:highlight w:val="none"/>
        </w:rPr>
        <w:t>社会高度关注的民生热点，也是贯彻落实绿色发展理念，实现经济与社会协调发展，构建社会主义和谐社会的重要内容之一。引水建设是造福人民的基础性工程，关系到经济发展和社会稳定的全局，在国民经济和社会发展中具有独特的地位和不可替代的作用。它不仅关乎居民日常用水的品质与供应稳定性，更对工业生产、农业灌溉等关键领域有着深远影响。</w:t>
      </w:r>
    </w:p>
    <w:p w14:paraId="25443F43">
      <w:pPr>
        <w:shd w:val="clear"/>
        <w:ind w:firstLine="480"/>
        <w:rPr>
          <w:rFonts w:hint="eastAsia"/>
          <w:bCs/>
          <w:color w:val="auto"/>
          <w:kern w:val="0"/>
          <w:highlight w:val="none"/>
        </w:rPr>
      </w:pPr>
      <w:r>
        <w:rPr>
          <w:rFonts w:hint="eastAsia"/>
          <w:bCs/>
          <w:color w:val="auto"/>
          <w:kern w:val="0"/>
          <w:highlight w:val="none"/>
        </w:rPr>
        <w:t>在社会效益方面，项目建成后，稳定的供水压力、达标的饮水水质可彻底解决乡村老旧引水管网易因锈蚀、破裂出现断水、水质浑浊，在灌溉旺季、旱季常面临水源不足、水压不稳</w:t>
      </w:r>
      <w:r>
        <w:rPr>
          <w:rFonts w:hint="eastAsia"/>
          <w:bCs/>
          <w:color w:val="auto"/>
          <w:kern w:val="0"/>
          <w:highlight w:val="none"/>
          <w:lang w:val="en-US" w:eastAsia="zh-CN"/>
        </w:rPr>
        <w:t>等问题</w:t>
      </w:r>
      <w:r>
        <w:rPr>
          <w:rFonts w:hint="eastAsia"/>
          <w:bCs/>
          <w:color w:val="auto"/>
          <w:kern w:val="0"/>
          <w:highlight w:val="none"/>
          <w:lang w:eastAsia="zh-CN"/>
        </w:rPr>
        <w:t>，</w:t>
      </w:r>
      <w:r>
        <w:rPr>
          <w:rFonts w:hint="eastAsia"/>
          <w:bCs/>
          <w:color w:val="auto"/>
          <w:kern w:val="0"/>
          <w:highlight w:val="none"/>
        </w:rPr>
        <w:t>显著提升日常生活与农业生产的便利性与舒适度。同时，24小时客服响应与快速抢修服务，能及时解决村民遇到的水管漏水、用水异常等问题</w:t>
      </w:r>
      <w:r>
        <w:rPr>
          <w:rFonts w:hint="eastAsia"/>
          <w:bCs/>
          <w:color w:val="auto"/>
          <w:kern w:val="0"/>
          <w:highlight w:val="none"/>
          <w:lang w:eastAsia="zh-CN"/>
        </w:rPr>
        <w:t>。</w:t>
      </w:r>
      <w:r>
        <w:rPr>
          <w:rFonts w:hint="eastAsia"/>
          <w:color w:val="auto"/>
          <w:highlight w:val="none"/>
        </w:rPr>
        <w:t>可满足片区未来新增人口、公共设施的用水需求，避免因引水能力不足制约乡村产业发展</w:t>
      </w:r>
      <w:r>
        <w:rPr>
          <w:rFonts w:hint="eastAsia"/>
          <w:color w:val="auto"/>
          <w:highlight w:val="none"/>
          <w:lang w:eastAsia="zh-CN"/>
        </w:rPr>
        <w:t>，</w:t>
      </w:r>
      <w:r>
        <w:rPr>
          <w:rFonts w:hint="eastAsia"/>
          <w:color w:val="auto"/>
          <w:highlight w:val="none"/>
        </w:rPr>
        <w:t>同时，统一的引水标准也能让片区内不同村落（包括偏远山村）享受同等质量的引水服务，推动城乡公共服务均等化</w:t>
      </w:r>
      <w:r>
        <w:rPr>
          <w:rFonts w:hint="eastAsia"/>
          <w:bCs/>
          <w:color w:val="auto"/>
          <w:kern w:val="0"/>
          <w:highlight w:val="none"/>
        </w:rPr>
        <w:t>。</w:t>
      </w:r>
    </w:p>
    <w:p w14:paraId="22F0E77A">
      <w:pPr>
        <w:pStyle w:val="14"/>
        <w:shd w:val="clear"/>
        <w:rPr>
          <w:color w:val="auto"/>
          <w:highlight w:val="none"/>
        </w:rPr>
      </w:pPr>
    </w:p>
    <w:bookmarkEnd w:id="0"/>
    <w:p w14:paraId="4EE9616F">
      <w:pPr>
        <w:shd w:val="clear"/>
        <w:spacing w:line="560" w:lineRule="exact"/>
        <w:ind w:firstLine="640"/>
        <w:rPr>
          <w:rFonts w:ascii="黑体" w:hAnsi="黑体" w:eastAsia="黑体"/>
          <w:color w:val="auto"/>
          <w:sz w:val="32"/>
          <w:szCs w:val="32"/>
          <w:highlight w:val="none"/>
        </w:rPr>
      </w:pPr>
      <w:r>
        <w:rPr>
          <w:rFonts w:hint="eastAsia" w:ascii="黑体" w:hAnsi="黑体" w:eastAsia="黑体"/>
          <w:color w:val="auto"/>
          <w:sz w:val="32"/>
          <w:szCs w:val="32"/>
          <w:highlight w:val="none"/>
        </w:rPr>
        <w:t>三、项目投资估算及资金筹措方案</w:t>
      </w:r>
    </w:p>
    <w:p w14:paraId="7B5083B0">
      <w:pPr>
        <w:shd w:val="clear"/>
        <w:spacing w:line="560" w:lineRule="exact"/>
        <w:ind w:firstLine="643"/>
        <w:rPr>
          <w:rFonts w:ascii="楷体_GB2312" w:hAnsi="Calibri" w:eastAsia="楷体_GB2312"/>
          <w:b/>
          <w:color w:val="auto"/>
          <w:sz w:val="32"/>
          <w:szCs w:val="32"/>
          <w:highlight w:val="none"/>
        </w:rPr>
      </w:pPr>
      <w:r>
        <w:rPr>
          <w:rFonts w:hint="eastAsia" w:ascii="楷体_GB2312" w:hAnsi="Calibri" w:eastAsia="楷体_GB2312"/>
          <w:b/>
          <w:color w:val="auto"/>
          <w:sz w:val="32"/>
          <w:szCs w:val="32"/>
          <w:highlight w:val="none"/>
        </w:rPr>
        <w:t>（一）投资估算</w:t>
      </w:r>
    </w:p>
    <w:p w14:paraId="4CFB8F04">
      <w:pPr>
        <w:shd w:val="clear"/>
        <w:ind w:firstLine="480"/>
        <w:rPr>
          <w:color w:val="auto"/>
          <w:highlight w:val="none"/>
        </w:rPr>
      </w:pPr>
      <w:r>
        <w:rPr>
          <w:rFonts w:hint="eastAsia"/>
          <w:color w:val="auto"/>
          <w:highlight w:val="none"/>
        </w:rPr>
        <w:t>项目总投资估算为</w:t>
      </w:r>
      <w:r>
        <w:rPr>
          <w:rFonts w:hint="eastAsia"/>
          <w:color w:val="auto"/>
          <w:highlight w:val="none"/>
          <w:lang w:eastAsia="zh-CN"/>
        </w:rPr>
        <w:t>10311</w:t>
      </w:r>
      <w:r>
        <w:rPr>
          <w:color w:val="auto"/>
          <w:highlight w:val="none"/>
        </w:rPr>
        <w:t>.00万元，其中工程费用为</w:t>
      </w:r>
      <w:r>
        <w:rPr>
          <w:rFonts w:hint="eastAsia"/>
          <w:color w:val="auto"/>
          <w:highlight w:val="none"/>
          <w:lang w:eastAsia="zh-CN"/>
        </w:rPr>
        <w:t>8514.83</w:t>
      </w:r>
      <w:r>
        <w:rPr>
          <w:color w:val="auto"/>
          <w:highlight w:val="none"/>
        </w:rPr>
        <w:t>万元，工程建设其他费用为</w:t>
      </w:r>
      <w:r>
        <w:rPr>
          <w:rFonts w:hint="eastAsia"/>
          <w:color w:val="auto"/>
          <w:highlight w:val="none"/>
          <w:lang w:eastAsia="zh-CN"/>
        </w:rPr>
        <w:t>1181.69</w:t>
      </w:r>
      <w:r>
        <w:rPr>
          <w:color w:val="auto"/>
          <w:highlight w:val="none"/>
        </w:rPr>
        <w:t>万元，基本预备费</w:t>
      </w:r>
      <w:r>
        <w:rPr>
          <w:rFonts w:hint="eastAsia"/>
          <w:color w:val="auto"/>
          <w:highlight w:val="none"/>
          <w:lang w:eastAsia="zh-CN"/>
        </w:rPr>
        <w:t>299.48</w:t>
      </w:r>
      <w:r>
        <w:rPr>
          <w:color w:val="auto"/>
          <w:highlight w:val="none"/>
        </w:rPr>
        <w:t>万元，建设期融资利息</w:t>
      </w:r>
      <w:r>
        <w:rPr>
          <w:rFonts w:hint="eastAsia"/>
          <w:color w:val="auto"/>
          <w:highlight w:val="none"/>
          <w:lang w:eastAsia="zh-CN"/>
        </w:rPr>
        <w:t>308.00</w:t>
      </w:r>
      <w:r>
        <w:rPr>
          <w:color w:val="auto"/>
          <w:highlight w:val="none"/>
        </w:rPr>
        <w:t>万元，债券发行费为</w:t>
      </w:r>
      <w:r>
        <w:rPr>
          <w:rFonts w:hint="eastAsia"/>
          <w:color w:val="auto"/>
          <w:highlight w:val="none"/>
          <w:lang w:val="en-US" w:eastAsia="zh-CN"/>
        </w:rPr>
        <w:t>7.00</w:t>
      </w:r>
      <w:r>
        <w:rPr>
          <w:color w:val="auto"/>
          <w:highlight w:val="none"/>
        </w:rPr>
        <w:t>万元。</w:t>
      </w:r>
    </w:p>
    <w:p w14:paraId="6556B671">
      <w:pPr>
        <w:shd w:val="clear"/>
        <w:spacing w:line="560" w:lineRule="exact"/>
        <w:ind w:firstLine="643"/>
        <w:rPr>
          <w:rFonts w:ascii="楷体_GB2312" w:hAnsi="Calibri" w:eastAsia="楷体_GB2312"/>
          <w:b/>
          <w:color w:val="auto"/>
          <w:sz w:val="32"/>
          <w:szCs w:val="32"/>
          <w:highlight w:val="none"/>
        </w:rPr>
      </w:pPr>
      <w:r>
        <w:rPr>
          <w:rFonts w:hint="eastAsia" w:ascii="楷体_GB2312" w:hAnsi="Calibri" w:eastAsia="楷体_GB2312"/>
          <w:b/>
          <w:color w:val="auto"/>
          <w:sz w:val="32"/>
          <w:szCs w:val="32"/>
          <w:highlight w:val="none"/>
        </w:rPr>
        <w:t>（二）资金筹措方案</w:t>
      </w:r>
    </w:p>
    <w:p w14:paraId="7E21E72A">
      <w:pPr>
        <w:shd w:val="clear"/>
        <w:spacing w:line="560" w:lineRule="exact"/>
        <w:ind w:firstLine="643"/>
        <w:rPr>
          <w:rFonts w:ascii="仿宋_GB2312" w:hAnsi="Calibri" w:eastAsia="仿宋_GB2312"/>
          <w:b/>
          <w:color w:val="auto"/>
          <w:sz w:val="32"/>
          <w:szCs w:val="32"/>
          <w:highlight w:val="none"/>
        </w:rPr>
      </w:pPr>
      <w:r>
        <w:rPr>
          <w:rFonts w:ascii="仿宋_GB2312" w:hAnsi="Calibri" w:eastAsia="仿宋_GB2312"/>
          <w:b/>
          <w:color w:val="auto"/>
          <w:sz w:val="32"/>
          <w:szCs w:val="32"/>
          <w:highlight w:val="none"/>
        </w:rPr>
        <w:t>1.</w:t>
      </w:r>
      <w:r>
        <w:rPr>
          <w:rFonts w:hint="eastAsia" w:ascii="仿宋_GB2312" w:hAnsi="Calibri" w:eastAsia="仿宋_GB2312"/>
          <w:b/>
          <w:color w:val="auto"/>
          <w:sz w:val="32"/>
          <w:szCs w:val="32"/>
          <w:highlight w:val="none"/>
        </w:rPr>
        <w:t>资金筹集情况</w:t>
      </w:r>
    </w:p>
    <w:p w14:paraId="0E10B381">
      <w:pPr>
        <w:shd w:val="clear"/>
        <w:ind w:firstLine="480"/>
        <w:rPr>
          <w:color w:val="auto"/>
          <w:highlight w:val="none"/>
        </w:rPr>
      </w:pPr>
      <w:r>
        <w:rPr>
          <w:rFonts w:hint="eastAsia"/>
          <w:color w:val="auto"/>
          <w:highlight w:val="none"/>
        </w:rPr>
        <w:t>该项目总投资估算为</w:t>
      </w:r>
      <w:r>
        <w:rPr>
          <w:rFonts w:hint="eastAsia"/>
          <w:color w:val="auto"/>
          <w:highlight w:val="none"/>
          <w:lang w:eastAsia="zh-CN"/>
        </w:rPr>
        <w:t>10311</w:t>
      </w:r>
      <w:r>
        <w:rPr>
          <w:color w:val="auto"/>
          <w:highlight w:val="none"/>
        </w:rPr>
        <w:t>.00万元，资金来源于</w:t>
      </w:r>
      <w:r>
        <w:rPr>
          <w:rFonts w:hint="eastAsia"/>
          <w:color w:val="auto"/>
          <w:highlight w:val="none"/>
          <w:lang w:eastAsia="zh-CN"/>
        </w:rPr>
        <w:t>业主自筹</w:t>
      </w:r>
      <w:r>
        <w:rPr>
          <w:color w:val="auto"/>
          <w:highlight w:val="none"/>
        </w:rPr>
        <w:t>和专项债券资金。其中项目资本金</w:t>
      </w:r>
      <w:r>
        <w:rPr>
          <w:rFonts w:hint="eastAsia"/>
          <w:color w:val="auto"/>
          <w:highlight w:val="none"/>
          <w:lang w:eastAsia="zh-CN"/>
        </w:rPr>
        <w:t>3311</w:t>
      </w:r>
      <w:r>
        <w:rPr>
          <w:color w:val="auto"/>
          <w:highlight w:val="none"/>
        </w:rPr>
        <w:t>.00万元，占总投资的</w:t>
      </w:r>
      <w:r>
        <w:rPr>
          <w:rFonts w:hint="eastAsia"/>
          <w:color w:val="auto"/>
          <w:highlight w:val="none"/>
          <w:lang w:eastAsia="zh-CN"/>
        </w:rPr>
        <w:t>32.11</w:t>
      </w:r>
      <w:r>
        <w:rPr>
          <w:color w:val="auto"/>
          <w:highlight w:val="none"/>
        </w:rPr>
        <w:t>%，由</w:t>
      </w:r>
      <w:r>
        <w:rPr>
          <w:rFonts w:hint="eastAsia"/>
          <w:color w:val="auto"/>
          <w:highlight w:val="none"/>
          <w:lang w:eastAsia="zh-CN"/>
        </w:rPr>
        <w:t>业主自筹</w:t>
      </w:r>
      <w:r>
        <w:rPr>
          <w:color w:val="auto"/>
          <w:highlight w:val="none"/>
        </w:rPr>
        <w:t>；剩余资金缺口拟通过发行</w:t>
      </w:r>
      <w:r>
        <w:rPr>
          <w:rFonts w:hint="eastAsia"/>
          <w:color w:val="auto"/>
          <w:highlight w:val="none"/>
          <w:lang w:eastAsia="zh-CN"/>
        </w:rPr>
        <w:t>7000</w:t>
      </w:r>
      <w:r>
        <w:rPr>
          <w:rFonts w:hint="eastAsia"/>
          <w:color w:val="auto"/>
          <w:highlight w:val="none"/>
          <w:lang w:val="en-US" w:eastAsia="zh-CN"/>
        </w:rPr>
        <w:t>.00</w:t>
      </w:r>
      <w:r>
        <w:rPr>
          <w:color w:val="auto"/>
          <w:highlight w:val="none"/>
        </w:rPr>
        <w:t>万元专项债券融资，占总投资的</w:t>
      </w:r>
      <w:r>
        <w:rPr>
          <w:rFonts w:hint="eastAsia"/>
          <w:color w:val="auto"/>
          <w:highlight w:val="none"/>
          <w:lang w:val="en-US" w:eastAsia="zh-CN"/>
        </w:rPr>
        <w:t>67.89</w:t>
      </w:r>
      <w:r>
        <w:rPr>
          <w:color w:val="auto"/>
          <w:highlight w:val="none"/>
        </w:rPr>
        <w:t>%，融资利率</w:t>
      </w:r>
      <w:r>
        <w:rPr>
          <w:rFonts w:hint="eastAsia"/>
          <w:color w:val="auto"/>
          <w:highlight w:val="none"/>
          <w:lang w:val="en-US" w:eastAsia="zh-CN"/>
        </w:rPr>
        <w:t>2.8</w:t>
      </w:r>
      <w:r>
        <w:rPr>
          <w:color w:val="auto"/>
          <w:highlight w:val="none"/>
        </w:rPr>
        <w:t>%，期限</w:t>
      </w:r>
      <w:r>
        <w:rPr>
          <w:rFonts w:hint="eastAsia"/>
          <w:color w:val="auto"/>
          <w:highlight w:val="none"/>
          <w:lang w:val="en-US" w:eastAsia="zh-CN"/>
        </w:rPr>
        <w:t>3</w:t>
      </w:r>
      <w:r>
        <w:rPr>
          <w:color w:val="auto"/>
          <w:highlight w:val="none"/>
        </w:rPr>
        <w:t>0年。</w:t>
      </w:r>
    </w:p>
    <w:p w14:paraId="06A0462B">
      <w:pPr>
        <w:shd w:val="clear"/>
        <w:spacing w:line="560" w:lineRule="exact"/>
        <w:ind w:firstLine="643"/>
        <w:rPr>
          <w:rFonts w:ascii="仿宋_GB2312" w:hAnsi="Calibri" w:eastAsia="仿宋_GB2312"/>
          <w:b/>
          <w:color w:val="auto"/>
          <w:sz w:val="32"/>
          <w:szCs w:val="32"/>
          <w:highlight w:val="none"/>
        </w:rPr>
      </w:pPr>
      <w:r>
        <w:rPr>
          <w:rFonts w:hint="eastAsia" w:ascii="仿宋_GB2312" w:hAnsi="Calibri" w:eastAsia="仿宋_GB2312"/>
          <w:b/>
          <w:color w:val="auto"/>
          <w:sz w:val="32"/>
          <w:szCs w:val="32"/>
          <w:highlight w:val="none"/>
        </w:rPr>
        <w:t>2.资金使用计划</w:t>
      </w:r>
    </w:p>
    <w:p w14:paraId="3C81FDBC">
      <w:pPr>
        <w:shd w:val="clear"/>
        <w:ind w:firstLine="480"/>
        <w:rPr>
          <w:color w:val="auto"/>
          <w:highlight w:val="none"/>
        </w:rPr>
      </w:pPr>
      <w:r>
        <w:rPr>
          <w:rFonts w:hint="eastAsia"/>
          <w:color w:val="auto"/>
          <w:highlight w:val="none"/>
        </w:rPr>
        <w:t>根据项目建设进度及建设内容和业主的资金安排，项目建设资金将在前</w:t>
      </w:r>
      <w:r>
        <w:rPr>
          <w:rFonts w:hint="eastAsia"/>
          <w:color w:val="auto"/>
          <w:highlight w:val="none"/>
          <w:lang w:val="en-US" w:eastAsia="zh-CN"/>
        </w:rPr>
        <w:t>2</w:t>
      </w:r>
      <w:r>
        <w:rPr>
          <w:rFonts w:hint="eastAsia"/>
          <w:color w:val="auto"/>
          <w:highlight w:val="none"/>
        </w:rPr>
        <w:t>年投入，建设计划、资金使用与投资计划相匹配。本项目</w:t>
      </w:r>
      <w:r>
        <w:rPr>
          <w:rFonts w:hint="eastAsia"/>
          <w:color w:val="auto"/>
          <w:highlight w:val="none"/>
          <w:lang w:bidi="ar"/>
        </w:rPr>
        <w:t>施工耗时</w:t>
      </w:r>
      <w:r>
        <w:rPr>
          <w:rFonts w:hint="eastAsia"/>
          <w:color w:val="auto"/>
          <w:highlight w:val="none"/>
          <w:lang w:val="en-US" w:eastAsia="zh-CN" w:bidi="ar"/>
        </w:rPr>
        <w:t>2</w:t>
      </w:r>
      <w:r>
        <w:rPr>
          <w:rFonts w:hint="eastAsia"/>
          <w:color w:val="auto"/>
          <w:highlight w:val="none"/>
          <w:lang w:bidi="ar"/>
        </w:rPr>
        <w:t>年</w:t>
      </w:r>
      <w:r>
        <w:rPr>
          <w:rFonts w:hint="eastAsia"/>
          <w:color w:val="auto"/>
          <w:highlight w:val="none"/>
        </w:rPr>
        <w:t>（含前期工作时间）。从</w:t>
      </w:r>
      <w:r>
        <w:rPr>
          <w:rFonts w:hint="eastAsia"/>
          <w:color w:val="auto"/>
          <w:highlight w:val="none"/>
          <w:lang w:val="en-US" w:eastAsia="zh-CN"/>
        </w:rPr>
        <w:t>2026</w:t>
      </w:r>
      <w:r>
        <w:rPr>
          <w:color w:val="auto"/>
          <w:highlight w:val="none"/>
        </w:rPr>
        <w:t>年</w:t>
      </w:r>
      <w:r>
        <w:rPr>
          <w:rFonts w:hint="eastAsia"/>
          <w:color w:val="auto"/>
          <w:highlight w:val="none"/>
          <w:lang w:val="en-US" w:eastAsia="zh-CN"/>
        </w:rPr>
        <w:t>3</w:t>
      </w:r>
      <w:r>
        <w:rPr>
          <w:color w:val="auto"/>
          <w:highlight w:val="none"/>
        </w:rPr>
        <w:t>月初开始施工建设，</w:t>
      </w:r>
      <w:r>
        <w:rPr>
          <w:rFonts w:hint="eastAsia"/>
          <w:color w:val="auto"/>
          <w:highlight w:val="none"/>
          <w:lang w:val="en-US" w:eastAsia="zh-CN"/>
        </w:rPr>
        <w:t>2028</w:t>
      </w:r>
      <w:r>
        <w:rPr>
          <w:color w:val="auto"/>
          <w:highlight w:val="none"/>
        </w:rPr>
        <w:t>年</w:t>
      </w:r>
      <w:r>
        <w:rPr>
          <w:rFonts w:hint="eastAsia"/>
          <w:color w:val="auto"/>
          <w:highlight w:val="none"/>
          <w:lang w:val="en-US" w:eastAsia="zh-CN"/>
        </w:rPr>
        <w:t>2</w:t>
      </w:r>
      <w:r>
        <w:rPr>
          <w:color w:val="auto"/>
          <w:highlight w:val="none"/>
        </w:rPr>
        <w:t>月完成竣工验收。工程施工阶段在</w:t>
      </w:r>
      <w:r>
        <w:rPr>
          <w:rFonts w:hint="eastAsia"/>
          <w:color w:val="auto"/>
          <w:highlight w:val="none"/>
          <w:lang w:val="en-US" w:eastAsia="zh-CN"/>
        </w:rPr>
        <w:t>2028</w:t>
      </w:r>
      <w:r>
        <w:rPr>
          <w:color w:val="auto"/>
          <w:highlight w:val="none"/>
        </w:rPr>
        <w:t>年</w:t>
      </w:r>
      <w:r>
        <w:rPr>
          <w:rFonts w:hint="eastAsia"/>
          <w:color w:val="auto"/>
          <w:highlight w:val="none"/>
          <w:lang w:val="en-US" w:eastAsia="zh-CN"/>
        </w:rPr>
        <w:t>1</w:t>
      </w:r>
      <w:r>
        <w:rPr>
          <w:color w:val="auto"/>
          <w:highlight w:val="none"/>
        </w:rPr>
        <w:t>月前完成，于</w:t>
      </w:r>
      <w:r>
        <w:rPr>
          <w:rFonts w:hint="eastAsia"/>
          <w:color w:val="auto"/>
          <w:highlight w:val="none"/>
          <w:lang w:val="en-US" w:eastAsia="zh-CN"/>
        </w:rPr>
        <w:t>2028</w:t>
      </w:r>
      <w:r>
        <w:rPr>
          <w:color w:val="auto"/>
          <w:highlight w:val="none"/>
        </w:rPr>
        <w:t>年</w:t>
      </w:r>
      <w:r>
        <w:rPr>
          <w:rFonts w:hint="eastAsia"/>
          <w:color w:val="auto"/>
          <w:highlight w:val="none"/>
          <w:lang w:val="en-US" w:eastAsia="zh-CN"/>
        </w:rPr>
        <w:t>2</w:t>
      </w:r>
      <w:r>
        <w:rPr>
          <w:color w:val="auto"/>
          <w:highlight w:val="none"/>
        </w:rPr>
        <w:t>月，项目竣工验收，并交付使用。</w:t>
      </w:r>
      <w:r>
        <w:rPr>
          <w:rFonts w:hint="eastAsia"/>
          <w:color w:val="auto"/>
          <w:highlight w:val="none"/>
        </w:rPr>
        <w:t>按照建设进度，建设期第</w:t>
      </w:r>
      <w:r>
        <w:rPr>
          <w:rFonts w:hint="eastAsia"/>
          <w:color w:val="auto"/>
          <w:highlight w:val="none"/>
          <w:lang w:val="en-US" w:eastAsia="zh-CN"/>
        </w:rPr>
        <w:t>1</w:t>
      </w:r>
      <w:r>
        <w:rPr>
          <w:rFonts w:hint="eastAsia"/>
          <w:color w:val="auto"/>
          <w:highlight w:val="none"/>
        </w:rPr>
        <w:t>年（含以前年度）计划投资</w:t>
      </w:r>
      <w:r>
        <w:rPr>
          <w:rFonts w:hint="eastAsia"/>
          <w:color w:val="auto"/>
          <w:highlight w:val="none"/>
          <w:lang w:val="en-US" w:eastAsia="zh-CN"/>
        </w:rPr>
        <w:t>5828.00</w:t>
      </w:r>
      <w:r>
        <w:rPr>
          <w:rFonts w:hint="eastAsia"/>
          <w:color w:val="auto"/>
          <w:highlight w:val="none"/>
        </w:rPr>
        <w:t>万元，第</w:t>
      </w:r>
      <w:r>
        <w:rPr>
          <w:rFonts w:hint="eastAsia"/>
          <w:color w:val="auto"/>
          <w:highlight w:val="none"/>
          <w:lang w:val="en-US" w:eastAsia="zh-CN"/>
        </w:rPr>
        <w:t>2</w:t>
      </w:r>
      <w:r>
        <w:rPr>
          <w:rFonts w:hint="eastAsia"/>
          <w:color w:val="auto"/>
          <w:highlight w:val="none"/>
        </w:rPr>
        <w:t>年计划投资</w:t>
      </w:r>
      <w:r>
        <w:rPr>
          <w:rFonts w:hint="eastAsia"/>
          <w:color w:val="auto"/>
          <w:highlight w:val="none"/>
          <w:lang w:val="en-US" w:eastAsia="zh-CN"/>
        </w:rPr>
        <w:t>4483.00</w:t>
      </w:r>
      <w:r>
        <w:rPr>
          <w:rFonts w:hint="eastAsia"/>
          <w:color w:val="auto"/>
          <w:highlight w:val="none"/>
        </w:rPr>
        <w:t>万元。</w:t>
      </w:r>
    </w:p>
    <w:p w14:paraId="10ED47E3">
      <w:pPr>
        <w:pStyle w:val="31"/>
        <w:shd w:val="clear"/>
        <w:rPr>
          <w:color w:val="auto"/>
          <w:highlight w:val="none"/>
        </w:rPr>
      </w:pPr>
      <w:r>
        <w:rPr>
          <w:rFonts w:hint="eastAsia"/>
          <w:color w:val="auto"/>
          <w:highlight w:val="none"/>
          <w:lang w:bidi="ar"/>
        </w:rPr>
        <w:t>资金使用计划表（</w:t>
      </w:r>
      <w:r>
        <w:rPr>
          <w:rFonts w:hint="eastAsia"/>
          <w:color w:val="auto"/>
          <w:highlight w:val="none"/>
        </w:rPr>
        <w:t>金额单位：</w:t>
      </w:r>
      <w:r>
        <w:rPr>
          <w:rFonts w:hint="eastAsia"/>
          <w:color w:val="auto"/>
          <w:highlight w:val="none"/>
          <w:lang w:val="zh-CN"/>
        </w:rPr>
        <w:t>人民币</w:t>
      </w:r>
      <w:r>
        <w:rPr>
          <w:rFonts w:hint="eastAsia"/>
          <w:color w:val="auto"/>
          <w:highlight w:val="none"/>
        </w:rPr>
        <w:t>万元）</w:t>
      </w:r>
    </w:p>
    <w:tbl>
      <w:tblPr>
        <w:tblStyle w:val="1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76"/>
        <w:gridCol w:w="1990"/>
        <w:gridCol w:w="1161"/>
        <w:gridCol w:w="1323"/>
        <w:gridCol w:w="1410"/>
        <w:gridCol w:w="951"/>
      </w:tblGrid>
      <w:tr w14:paraId="7650A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4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DB943">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序号</w:t>
            </w:r>
          </w:p>
        </w:tc>
        <w:tc>
          <w:tcPr>
            <w:tcW w:w="1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7F3D1">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项目名称</w:t>
            </w:r>
          </w:p>
        </w:tc>
        <w:tc>
          <w:tcPr>
            <w:tcW w:w="116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E5656">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合计</w:t>
            </w:r>
          </w:p>
        </w:tc>
        <w:tc>
          <w:tcPr>
            <w:tcW w:w="2733" w:type="dxa"/>
            <w:gridSpan w:val="2"/>
            <w:tcBorders>
              <w:top w:val="single" w:color="000000" w:sz="4" w:space="0"/>
              <w:left w:val="single" w:color="000000" w:sz="4" w:space="0"/>
              <w:bottom w:val="single" w:color="000000" w:sz="4" w:space="0"/>
              <w:right w:val="nil"/>
            </w:tcBorders>
            <w:shd w:val="clear" w:color="auto" w:fill="auto"/>
            <w:vAlign w:val="center"/>
          </w:tcPr>
          <w:p w14:paraId="3A14E063">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资金来源及分年使用计划</w:t>
            </w:r>
          </w:p>
        </w:tc>
        <w:tc>
          <w:tcPr>
            <w:tcW w:w="95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9167D">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比例</w:t>
            </w:r>
          </w:p>
        </w:tc>
      </w:tr>
      <w:tr w14:paraId="43501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DB0CC">
            <w:pPr>
              <w:shd w:val="clear"/>
              <w:jc w:val="center"/>
              <w:rPr>
                <w:rFonts w:hint="eastAsia" w:ascii="仿宋" w:hAnsi="仿宋" w:eastAsia="仿宋" w:cs="仿宋"/>
                <w:b/>
                <w:bCs/>
                <w:i w:val="0"/>
                <w:iCs w:val="0"/>
                <w:color w:val="auto"/>
                <w:sz w:val="21"/>
                <w:szCs w:val="21"/>
                <w:highlight w:val="none"/>
                <w:u w:val="none"/>
              </w:rPr>
            </w:pPr>
          </w:p>
        </w:tc>
        <w:tc>
          <w:tcPr>
            <w:tcW w:w="1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135A8">
            <w:pPr>
              <w:shd w:val="clear"/>
              <w:jc w:val="center"/>
              <w:rPr>
                <w:rFonts w:hint="eastAsia" w:ascii="仿宋" w:hAnsi="仿宋" w:eastAsia="仿宋" w:cs="仿宋"/>
                <w:b/>
                <w:bCs/>
                <w:i w:val="0"/>
                <w:iCs w:val="0"/>
                <w:color w:val="auto"/>
                <w:sz w:val="21"/>
                <w:szCs w:val="21"/>
                <w:highlight w:val="none"/>
                <w:u w:val="none"/>
              </w:rPr>
            </w:pPr>
          </w:p>
        </w:tc>
        <w:tc>
          <w:tcPr>
            <w:tcW w:w="116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A66BA">
            <w:pPr>
              <w:shd w:val="clear"/>
              <w:jc w:val="center"/>
              <w:rPr>
                <w:rFonts w:hint="eastAsia" w:ascii="仿宋" w:hAnsi="仿宋" w:eastAsia="仿宋" w:cs="仿宋"/>
                <w:b/>
                <w:bCs/>
                <w:i w:val="0"/>
                <w:iCs w:val="0"/>
                <w:color w:val="auto"/>
                <w:sz w:val="21"/>
                <w:szCs w:val="21"/>
                <w:highlight w:val="none"/>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7E5C7">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第一年</w:t>
            </w:r>
          </w:p>
        </w:tc>
        <w:tc>
          <w:tcPr>
            <w:tcW w:w="1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E5791">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第二年</w:t>
            </w:r>
          </w:p>
        </w:tc>
        <w:tc>
          <w:tcPr>
            <w:tcW w:w="95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EFAD2">
            <w:pPr>
              <w:shd w:val="clear"/>
              <w:jc w:val="center"/>
              <w:rPr>
                <w:rFonts w:hint="eastAsia" w:ascii="仿宋" w:hAnsi="仿宋" w:eastAsia="仿宋" w:cs="仿宋"/>
                <w:b/>
                <w:bCs/>
                <w:i w:val="0"/>
                <w:iCs w:val="0"/>
                <w:color w:val="auto"/>
                <w:sz w:val="21"/>
                <w:szCs w:val="21"/>
                <w:highlight w:val="none"/>
                <w:u w:val="none"/>
              </w:rPr>
            </w:pPr>
          </w:p>
        </w:tc>
      </w:tr>
      <w:tr w14:paraId="1DD3F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4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E33CA">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项目投资</w:t>
            </w:r>
          </w:p>
        </w:tc>
        <w:tc>
          <w:tcPr>
            <w:tcW w:w="1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D27A7">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项目建设总投资</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B08A7">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9,996.00</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02497">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5,712.00</w:t>
            </w:r>
          </w:p>
        </w:tc>
        <w:tc>
          <w:tcPr>
            <w:tcW w:w="13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AB75">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4,284.00</w:t>
            </w:r>
          </w:p>
        </w:tc>
        <w:tc>
          <w:tcPr>
            <w:tcW w:w="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5DFF8">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96.95%</w:t>
            </w:r>
          </w:p>
        </w:tc>
      </w:tr>
      <w:tr w14:paraId="5C72D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BCA5B">
            <w:pPr>
              <w:shd w:val="clear"/>
              <w:jc w:val="center"/>
              <w:rPr>
                <w:rFonts w:hint="eastAsia" w:ascii="仿宋" w:hAnsi="仿宋" w:eastAsia="仿宋" w:cs="仿宋"/>
                <w:i w:val="0"/>
                <w:iCs w:val="0"/>
                <w:color w:val="auto"/>
                <w:sz w:val="21"/>
                <w:szCs w:val="21"/>
                <w:highlight w:val="none"/>
                <w:u w:val="none"/>
              </w:rPr>
            </w:pPr>
          </w:p>
        </w:tc>
        <w:tc>
          <w:tcPr>
            <w:tcW w:w="1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F526">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项目建设期发债利息</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82AA9">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308.00</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096A9">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112.00</w:t>
            </w:r>
          </w:p>
        </w:tc>
        <w:tc>
          <w:tcPr>
            <w:tcW w:w="1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B9335">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196.00</w:t>
            </w:r>
          </w:p>
        </w:tc>
        <w:tc>
          <w:tcPr>
            <w:tcW w:w="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BC7BD">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2.99%</w:t>
            </w:r>
          </w:p>
        </w:tc>
      </w:tr>
      <w:tr w14:paraId="20076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13F5B">
            <w:pPr>
              <w:shd w:val="clear"/>
              <w:jc w:val="center"/>
              <w:rPr>
                <w:rFonts w:hint="eastAsia" w:ascii="仿宋" w:hAnsi="仿宋" w:eastAsia="仿宋" w:cs="仿宋"/>
                <w:i w:val="0"/>
                <w:iCs w:val="0"/>
                <w:color w:val="auto"/>
                <w:sz w:val="21"/>
                <w:szCs w:val="21"/>
                <w:highlight w:val="none"/>
                <w:u w:val="none"/>
              </w:rPr>
            </w:pPr>
          </w:p>
        </w:tc>
        <w:tc>
          <w:tcPr>
            <w:tcW w:w="1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A101B">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债券发行费</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B53D9">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7.00</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AE755">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4.00</w:t>
            </w:r>
          </w:p>
        </w:tc>
        <w:tc>
          <w:tcPr>
            <w:tcW w:w="1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E3203">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3.00</w:t>
            </w:r>
          </w:p>
        </w:tc>
        <w:tc>
          <w:tcPr>
            <w:tcW w:w="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447E5">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0.07%</w:t>
            </w:r>
          </w:p>
        </w:tc>
      </w:tr>
      <w:tr w14:paraId="07000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FD41C">
            <w:pPr>
              <w:shd w:val="clear"/>
              <w:jc w:val="center"/>
              <w:rPr>
                <w:rFonts w:hint="eastAsia" w:ascii="仿宋" w:hAnsi="仿宋" w:eastAsia="仿宋" w:cs="仿宋"/>
                <w:i w:val="0"/>
                <w:iCs w:val="0"/>
                <w:color w:val="auto"/>
                <w:sz w:val="21"/>
                <w:szCs w:val="21"/>
                <w:highlight w:val="none"/>
                <w:u w:val="none"/>
              </w:rPr>
            </w:pPr>
          </w:p>
        </w:tc>
        <w:tc>
          <w:tcPr>
            <w:tcW w:w="1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BB45A">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项目总投资</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1AA23">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10,311.00</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78D88">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5,828.00</w:t>
            </w:r>
          </w:p>
        </w:tc>
        <w:tc>
          <w:tcPr>
            <w:tcW w:w="1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E0114">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4,483.00</w:t>
            </w:r>
          </w:p>
        </w:tc>
        <w:tc>
          <w:tcPr>
            <w:tcW w:w="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EBA11">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100.00%</w:t>
            </w:r>
          </w:p>
        </w:tc>
      </w:tr>
      <w:tr w14:paraId="54D3F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4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D8F03">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资金使用计划</w:t>
            </w:r>
          </w:p>
        </w:tc>
        <w:tc>
          <w:tcPr>
            <w:tcW w:w="1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DF89E">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资本金</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01C8B">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3,311.00</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89C2">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1,828.00</w:t>
            </w:r>
          </w:p>
        </w:tc>
        <w:tc>
          <w:tcPr>
            <w:tcW w:w="13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3178">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1,483.00</w:t>
            </w:r>
          </w:p>
        </w:tc>
        <w:tc>
          <w:tcPr>
            <w:tcW w:w="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FFF40">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32.11%</w:t>
            </w:r>
          </w:p>
        </w:tc>
      </w:tr>
      <w:tr w14:paraId="760ED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D9823">
            <w:pPr>
              <w:shd w:val="clear"/>
              <w:jc w:val="center"/>
              <w:rPr>
                <w:rFonts w:hint="eastAsia" w:ascii="仿宋" w:hAnsi="仿宋" w:eastAsia="仿宋" w:cs="仿宋"/>
                <w:i w:val="0"/>
                <w:iCs w:val="0"/>
                <w:color w:val="auto"/>
                <w:sz w:val="21"/>
                <w:szCs w:val="21"/>
                <w:highlight w:val="none"/>
                <w:u w:val="none"/>
              </w:rPr>
            </w:pPr>
          </w:p>
        </w:tc>
        <w:tc>
          <w:tcPr>
            <w:tcW w:w="1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02992">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发行债券</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88BD6">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7,000.00</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72B8A">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4,000.00</w:t>
            </w:r>
          </w:p>
        </w:tc>
        <w:tc>
          <w:tcPr>
            <w:tcW w:w="1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D4D1F">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3,000.00</w:t>
            </w:r>
          </w:p>
        </w:tc>
        <w:tc>
          <w:tcPr>
            <w:tcW w:w="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2323D">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67.89%</w:t>
            </w:r>
          </w:p>
        </w:tc>
      </w:tr>
      <w:tr w14:paraId="2A056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FB0BF">
            <w:pPr>
              <w:shd w:val="clear"/>
              <w:jc w:val="center"/>
              <w:rPr>
                <w:rFonts w:hint="eastAsia" w:ascii="仿宋" w:hAnsi="仿宋" w:eastAsia="仿宋" w:cs="仿宋"/>
                <w:i w:val="0"/>
                <w:iCs w:val="0"/>
                <w:color w:val="auto"/>
                <w:sz w:val="21"/>
                <w:szCs w:val="21"/>
                <w:highlight w:val="none"/>
                <w:u w:val="none"/>
              </w:rPr>
            </w:pPr>
          </w:p>
        </w:tc>
        <w:tc>
          <w:tcPr>
            <w:tcW w:w="1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06DA5">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资金使用合计</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7AB00">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10,311.00</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32691">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5,828.00</w:t>
            </w:r>
          </w:p>
        </w:tc>
        <w:tc>
          <w:tcPr>
            <w:tcW w:w="13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1A16B">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4,483.00</w:t>
            </w:r>
          </w:p>
        </w:tc>
        <w:tc>
          <w:tcPr>
            <w:tcW w:w="9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BC29C">
            <w:pPr>
              <w:keepNext w:val="0"/>
              <w:keepLines w:val="0"/>
              <w:widowControl/>
              <w:suppressLineNumbers w:val="0"/>
              <w:shd w:val="clear"/>
              <w:spacing w:line="240" w:lineRule="auto"/>
              <w:ind w:firstLine="0" w:firstLineChars="0"/>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100.00%</w:t>
            </w:r>
          </w:p>
        </w:tc>
      </w:tr>
    </w:tbl>
    <w:p w14:paraId="70245696">
      <w:pPr>
        <w:shd w:val="clear"/>
        <w:spacing w:line="560" w:lineRule="exact"/>
        <w:ind w:firstLine="640"/>
        <w:rPr>
          <w:rFonts w:hint="eastAsia" w:ascii="黑体" w:hAnsi="黑体" w:eastAsia="黑体"/>
          <w:color w:val="auto"/>
          <w:sz w:val="32"/>
          <w:szCs w:val="32"/>
          <w:highlight w:val="none"/>
        </w:rPr>
      </w:pPr>
    </w:p>
    <w:p w14:paraId="48C7BFD9">
      <w:pPr>
        <w:shd w:val="clear"/>
        <w:spacing w:line="560" w:lineRule="exact"/>
        <w:ind w:firstLine="640"/>
        <w:rPr>
          <w:rFonts w:ascii="黑体" w:hAnsi="黑体" w:eastAsia="黑体"/>
          <w:color w:val="auto"/>
          <w:sz w:val="32"/>
          <w:szCs w:val="32"/>
          <w:highlight w:val="none"/>
        </w:rPr>
      </w:pPr>
      <w:r>
        <w:rPr>
          <w:rFonts w:hint="eastAsia" w:ascii="黑体" w:hAnsi="黑体" w:eastAsia="黑体"/>
          <w:color w:val="auto"/>
          <w:sz w:val="32"/>
          <w:szCs w:val="32"/>
          <w:highlight w:val="none"/>
        </w:rPr>
        <w:t>四、项目预期收益、成本及融资平衡情况</w:t>
      </w:r>
    </w:p>
    <w:p w14:paraId="2E828C14">
      <w:pPr>
        <w:shd w:val="clear"/>
        <w:spacing w:line="560" w:lineRule="exact"/>
        <w:ind w:firstLine="643"/>
        <w:rPr>
          <w:rFonts w:ascii="楷体_GB2312" w:hAnsi="Calibri" w:eastAsia="楷体_GB2312"/>
          <w:b/>
          <w:color w:val="auto"/>
          <w:sz w:val="32"/>
          <w:szCs w:val="32"/>
          <w:highlight w:val="none"/>
        </w:rPr>
      </w:pPr>
      <w:r>
        <w:rPr>
          <w:rFonts w:hint="eastAsia" w:ascii="楷体_GB2312" w:hAnsi="Calibri" w:eastAsia="楷体_GB2312"/>
          <w:b/>
          <w:color w:val="auto"/>
          <w:sz w:val="32"/>
          <w:szCs w:val="32"/>
          <w:highlight w:val="none"/>
        </w:rPr>
        <w:t>（一）预期收益</w:t>
      </w:r>
    </w:p>
    <w:p w14:paraId="76B47070">
      <w:pPr>
        <w:shd w:val="clear"/>
        <w:spacing w:line="560" w:lineRule="exact"/>
        <w:ind w:firstLine="643"/>
        <w:rPr>
          <w:rFonts w:ascii="仿宋_GB2312" w:hAnsi="Calibri" w:eastAsia="仿宋_GB2312"/>
          <w:b/>
          <w:color w:val="auto"/>
          <w:sz w:val="32"/>
          <w:szCs w:val="32"/>
          <w:highlight w:val="none"/>
        </w:rPr>
      </w:pPr>
      <w:r>
        <w:rPr>
          <w:rFonts w:hint="eastAsia" w:ascii="仿宋_GB2312" w:hAnsi="Calibri" w:eastAsia="仿宋_GB2312"/>
          <w:b/>
          <w:color w:val="auto"/>
          <w:sz w:val="32"/>
          <w:szCs w:val="32"/>
          <w:highlight w:val="none"/>
        </w:rPr>
        <w:t>1.项目收入</w:t>
      </w:r>
    </w:p>
    <w:p w14:paraId="0673F0F2">
      <w:pPr>
        <w:shd w:val="clear"/>
        <w:ind w:firstLine="480"/>
        <w:rPr>
          <w:color w:val="auto"/>
          <w:highlight w:val="none"/>
        </w:rPr>
      </w:pPr>
      <w:bookmarkStart w:id="1" w:name="_Hlk43423686"/>
      <w:bookmarkStart w:id="2" w:name="_Hlk41910341"/>
      <w:r>
        <w:rPr>
          <w:rFonts w:hint="eastAsia"/>
          <w:color w:val="auto"/>
          <w:highlight w:val="none"/>
        </w:rPr>
        <w:t>内江市高桥水厂城乡供水智慧水务提升改造建设项目收入来源主要为项目建成后</w:t>
      </w:r>
      <w:r>
        <w:rPr>
          <w:rFonts w:hint="eastAsia"/>
          <w:color w:val="auto"/>
          <w:highlight w:val="none"/>
          <w:lang w:val="en-US" w:eastAsia="zh-CN"/>
        </w:rPr>
        <w:t>居</w:t>
      </w:r>
      <w:r>
        <w:rPr>
          <w:rFonts w:hint="eastAsia"/>
          <w:color w:val="auto"/>
          <w:highlight w:val="none"/>
        </w:rPr>
        <w:t>民生活用水收入、开户及安装智能水表收入。项目运营期内运营收入合计</w:t>
      </w:r>
      <w:r>
        <w:rPr>
          <w:rFonts w:hint="eastAsia"/>
          <w:color w:val="auto"/>
          <w:highlight w:val="none"/>
          <w:lang w:val="en-US" w:eastAsia="zh-CN"/>
        </w:rPr>
        <w:t>18819.38</w:t>
      </w:r>
      <w:r>
        <w:rPr>
          <w:color w:val="auto"/>
          <w:highlight w:val="none"/>
        </w:rPr>
        <w:t>万元，属于专项收入</w:t>
      </w:r>
      <w:r>
        <w:rPr>
          <w:rFonts w:hint="eastAsia"/>
          <w:color w:val="auto"/>
          <w:highlight w:val="none"/>
          <w:lang w:eastAsia="zh-CN"/>
        </w:rPr>
        <w:t>。</w:t>
      </w:r>
      <w:r>
        <w:rPr>
          <w:color w:val="auto"/>
          <w:highlight w:val="none"/>
        </w:rPr>
        <w:t>项目收入来源有事实依据，整体具有可行性。</w:t>
      </w:r>
    </w:p>
    <w:bookmarkEnd w:id="1"/>
    <w:p w14:paraId="2F0BAC5C">
      <w:pPr>
        <w:shd w:val="clear"/>
        <w:spacing w:line="560" w:lineRule="exact"/>
        <w:ind w:firstLine="643"/>
        <w:rPr>
          <w:rFonts w:ascii="仿宋_GB2312" w:hAnsi="Calibri" w:eastAsia="仿宋_GB2312"/>
          <w:b/>
          <w:color w:val="auto"/>
          <w:sz w:val="32"/>
          <w:szCs w:val="32"/>
          <w:highlight w:val="none"/>
        </w:rPr>
      </w:pPr>
      <w:r>
        <w:rPr>
          <w:rFonts w:hint="eastAsia" w:ascii="仿宋_GB2312" w:hAnsi="Calibri" w:eastAsia="仿宋_GB2312"/>
          <w:b/>
          <w:color w:val="auto"/>
          <w:sz w:val="32"/>
          <w:szCs w:val="32"/>
          <w:highlight w:val="none"/>
        </w:rPr>
        <w:t>2.项目成本</w:t>
      </w:r>
    </w:p>
    <w:p w14:paraId="6A343282">
      <w:pPr>
        <w:ind w:firstLine="480"/>
        <w:rPr>
          <w:color w:val="auto"/>
          <w:highlight w:val="none"/>
        </w:rPr>
      </w:pPr>
      <w:r>
        <w:rPr>
          <w:rFonts w:hint="eastAsia"/>
          <w:bCs/>
          <w:color w:val="auto"/>
          <w:kern w:val="0"/>
          <w:highlight w:val="none"/>
        </w:rPr>
        <w:t>本项目建成后运营期间的成本费用，共计</w:t>
      </w:r>
      <w:r>
        <w:rPr>
          <w:rFonts w:hint="eastAsia"/>
          <w:bCs/>
          <w:color w:val="auto"/>
          <w:kern w:val="0"/>
          <w:highlight w:val="none"/>
          <w:lang w:val="en-US" w:eastAsia="zh-CN"/>
        </w:rPr>
        <w:t>15187.94</w:t>
      </w:r>
      <w:r>
        <w:rPr>
          <w:bCs/>
          <w:color w:val="auto"/>
          <w:kern w:val="0"/>
          <w:highlight w:val="none"/>
        </w:rPr>
        <w:t>万元，主要包括</w:t>
      </w:r>
      <w:r>
        <w:rPr>
          <w:rFonts w:hint="eastAsia"/>
          <w:bCs/>
          <w:color w:val="auto"/>
          <w:kern w:val="0"/>
          <w:highlight w:val="none"/>
          <w:lang w:val="en-US" w:eastAsia="zh-CN"/>
        </w:rPr>
        <w:t>人工成本</w:t>
      </w:r>
      <w:r>
        <w:rPr>
          <w:bCs/>
          <w:color w:val="auto"/>
          <w:kern w:val="0"/>
          <w:highlight w:val="none"/>
        </w:rPr>
        <w:t>、</w:t>
      </w:r>
      <w:r>
        <w:rPr>
          <w:rFonts w:hint="eastAsia"/>
          <w:bCs/>
          <w:color w:val="auto"/>
          <w:kern w:val="0"/>
          <w:highlight w:val="none"/>
          <w:lang w:val="en-US" w:eastAsia="zh-CN"/>
        </w:rPr>
        <w:t>药剂费用</w:t>
      </w:r>
      <w:r>
        <w:rPr>
          <w:bCs/>
          <w:color w:val="auto"/>
          <w:kern w:val="0"/>
          <w:highlight w:val="none"/>
        </w:rPr>
        <w:t>、</w:t>
      </w:r>
      <w:r>
        <w:rPr>
          <w:rFonts w:hint="eastAsia"/>
          <w:bCs/>
          <w:color w:val="auto"/>
          <w:kern w:val="0"/>
          <w:highlight w:val="none"/>
          <w:lang w:val="en-US" w:eastAsia="zh-CN"/>
        </w:rPr>
        <w:t>电费</w:t>
      </w:r>
      <w:r>
        <w:rPr>
          <w:bCs/>
          <w:color w:val="auto"/>
          <w:kern w:val="0"/>
          <w:highlight w:val="none"/>
        </w:rPr>
        <w:t>、</w:t>
      </w:r>
      <w:r>
        <w:rPr>
          <w:rFonts w:hint="eastAsia"/>
          <w:bCs/>
          <w:color w:val="auto"/>
          <w:kern w:val="0"/>
          <w:highlight w:val="none"/>
          <w:lang w:val="en-US" w:eastAsia="zh-CN"/>
        </w:rPr>
        <w:t>污泥处理费、修缮费</w:t>
      </w:r>
      <w:r>
        <w:rPr>
          <w:bCs/>
          <w:color w:val="auto"/>
          <w:kern w:val="0"/>
          <w:highlight w:val="none"/>
        </w:rPr>
        <w:t>、折旧与摊销、相关税费和利息。</w:t>
      </w:r>
    </w:p>
    <w:p w14:paraId="7E2A445F">
      <w:pPr>
        <w:shd w:val="clear"/>
        <w:spacing w:line="560" w:lineRule="exact"/>
        <w:ind w:firstLine="643"/>
        <w:rPr>
          <w:rFonts w:ascii="楷体_GB2312" w:hAnsi="Calibri" w:eastAsia="楷体_GB2312"/>
          <w:b/>
          <w:color w:val="auto"/>
          <w:sz w:val="32"/>
          <w:szCs w:val="32"/>
          <w:highlight w:val="none"/>
        </w:rPr>
      </w:pPr>
      <w:r>
        <w:rPr>
          <w:rFonts w:hint="eastAsia" w:ascii="楷体_GB2312" w:hAnsi="Calibri" w:eastAsia="楷体_GB2312"/>
          <w:b/>
          <w:color w:val="auto"/>
          <w:sz w:val="32"/>
          <w:szCs w:val="32"/>
          <w:highlight w:val="none"/>
        </w:rPr>
        <w:t>（二）资金测算平衡情况</w:t>
      </w:r>
    </w:p>
    <w:p w14:paraId="3B22B884">
      <w:pPr>
        <w:shd w:val="clear"/>
        <w:ind w:firstLine="480"/>
        <w:rPr>
          <w:color w:val="auto"/>
          <w:highlight w:val="none"/>
        </w:rPr>
      </w:pPr>
      <w:r>
        <w:rPr>
          <w:rFonts w:hint="eastAsia"/>
          <w:color w:val="auto"/>
          <w:highlight w:val="none"/>
          <w:lang w:eastAsia="zh-CN"/>
        </w:rPr>
        <w:t>内江市高桥水厂城乡供水智慧水务提升改造建设项目</w:t>
      </w:r>
      <w:r>
        <w:rPr>
          <w:rFonts w:hint="eastAsia"/>
          <w:color w:val="auto"/>
          <w:highlight w:val="none"/>
        </w:rPr>
        <w:t>采用政府专项债的方式融资，待本项目全部</w:t>
      </w:r>
      <w:r>
        <w:rPr>
          <w:rFonts w:hint="eastAsia"/>
          <w:color w:val="auto"/>
          <w:highlight w:val="none"/>
          <w:lang w:eastAsia="zh-CN"/>
        </w:rPr>
        <w:t>7000</w:t>
      </w:r>
      <w:r>
        <w:rPr>
          <w:color w:val="auto"/>
          <w:highlight w:val="none"/>
        </w:rPr>
        <w:t>.00万元专项债券到期时，在偿还当年到期的专项债券本息后，将仍有</w:t>
      </w:r>
      <w:r>
        <w:rPr>
          <w:rFonts w:hint="eastAsia"/>
          <w:color w:val="auto"/>
          <w:highlight w:val="none"/>
          <w:lang w:eastAsia="zh-CN"/>
        </w:rPr>
        <w:t>1272.02</w:t>
      </w:r>
      <w:r>
        <w:rPr>
          <w:color w:val="auto"/>
          <w:highlight w:val="none"/>
        </w:rPr>
        <w:t>万元的累计现金结余，本期债券本息的覆盖率为</w:t>
      </w:r>
      <w:r>
        <w:rPr>
          <w:rFonts w:hint="eastAsia"/>
          <w:color w:val="auto"/>
          <w:highlight w:val="none"/>
          <w:lang w:eastAsia="zh-CN"/>
        </w:rPr>
        <w:t>1.07</w:t>
      </w:r>
      <w:r>
        <w:rPr>
          <w:color w:val="auto"/>
          <w:highlight w:val="none"/>
        </w:rPr>
        <w:t>倍，预期实现的运营净收入能够合理保障偿还融资本金和利息,能够实现项目收益和融资自求平衡。</w:t>
      </w:r>
    </w:p>
    <w:p w14:paraId="41C130B5">
      <w:pPr>
        <w:shd w:val="clear"/>
        <w:ind w:firstLine="480"/>
        <w:rPr>
          <w:color w:val="auto"/>
          <w:highlight w:val="none"/>
        </w:rPr>
      </w:pPr>
      <w:r>
        <w:rPr>
          <w:rFonts w:hint="eastAsia"/>
          <w:color w:val="auto"/>
          <w:highlight w:val="none"/>
        </w:rPr>
        <w:t>项目资金测算平衡情况如下表所示：</w:t>
      </w:r>
    </w:p>
    <w:p w14:paraId="12EB08DA">
      <w:pPr>
        <w:pStyle w:val="15"/>
        <w:rPr>
          <w:color w:val="auto"/>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709" w:footer="567" w:gutter="0"/>
          <w:cols w:space="425" w:num="1"/>
          <w:docGrid w:type="lines" w:linePitch="326" w:charSpace="0"/>
        </w:sectPr>
      </w:pPr>
    </w:p>
    <w:p w14:paraId="362CF752">
      <w:pPr>
        <w:shd w:val="clear"/>
        <w:rPr>
          <w:color w:val="auto"/>
          <w:highlight w:val="none"/>
        </w:rPr>
      </w:pPr>
    </w:p>
    <w:p w14:paraId="0F375991">
      <w:pPr>
        <w:shd w:val="clear"/>
        <w:spacing w:line="560" w:lineRule="exact"/>
        <w:ind w:firstLine="643"/>
        <w:rPr>
          <w:rFonts w:ascii="楷体_GB2312" w:hAnsi="Calibri" w:eastAsia="楷体_GB2312"/>
          <w:b/>
          <w:color w:val="auto"/>
          <w:sz w:val="32"/>
          <w:szCs w:val="32"/>
          <w:highlight w:val="none"/>
        </w:rPr>
      </w:pPr>
      <w:r>
        <w:rPr>
          <w:rFonts w:hint="eastAsia" w:ascii="楷体_GB2312" w:hAnsi="Calibri" w:eastAsia="楷体_GB2312"/>
          <w:b/>
          <w:color w:val="auto"/>
          <w:sz w:val="32"/>
          <w:szCs w:val="32"/>
          <w:highlight w:val="none"/>
        </w:rPr>
        <w:t>（二）资金测算平衡情况</w:t>
      </w:r>
    </w:p>
    <w:p w14:paraId="49D77883">
      <w:pPr>
        <w:shd w:val="clear"/>
        <w:ind w:firstLine="480"/>
        <w:rPr>
          <w:color w:val="auto"/>
          <w:highlight w:val="none"/>
        </w:rPr>
      </w:pPr>
      <w:r>
        <w:rPr>
          <w:rFonts w:hint="eastAsia"/>
          <w:color w:val="auto"/>
          <w:highlight w:val="none"/>
          <w:lang w:eastAsia="zh-CN"/>
        </w:rPr>
        <w:t>内江市高桥水厂城乡供水智慧水务提升改造建设项目</w:t>
      </w:r>
      <w:r>
        <w:rPr>
          <w:rFonts w:hint="eastAsia"/>
          <w:color w:val="auto"/>
          <w:highlight w:val="none"/>
        </w:rPr>
        <w:t>采用政府专项债的方式融资，待本项目全部</w:t>
      </w:r>
      <w:r>
        <w:rPr>
          <w:rFonts w:hint="eastAsia"/>
          <w:color w:val="auto"/>
          <w:highlight w:val="none"/>
          <w:lang w:eastAsia="zh-CN"/>
        </w:rPr>
        <w:t>7000</w:t>
      </w:r>
      <w:r>
        <w:rPr>
          <w:color w:val="auto"/>
          <w:highlight w:val="none"/>
        </w:rPr>
        <w:t>.00万元专项债券到期时，在偿还当年到期的专项债券本息后，将仍有</w:t>
      </w:r>
      <w:r>
        <w:rPr>
          <w:rFonts w:hint="eastAsia"/>
          <w:color w:val="auto"/>
          <w:highlight w:val="none"/>
          <w:lang w:eastAsia="zh-CN"/>
        </w:rPr>
        <w:t>1272.02</w:t>
      </w:r>
      <w:r>
        <w:rPr>
          <w:color w:val="auto"/>
          <w:highlight w:val="none"/>
        </w:rPr>
        <w:t>万元的累计现金结余，本期债券本息的覆盖率为</w:t>
      </w:r>
      <w:r>
        <w:rPr>
          <w:rFonts w:hint="eastAsia"/>
          <w:color w:val="auto"/>
          <w:highlight w:val="none"/>
          <w:lang w:eastAsia="zh-CN"/>
        </w:rPr>
        <w:t>1.07</w:t>
      </w:r>
      <w:r>
        <w:rPr>
          <w:color w:val="auto"/>
          <w:highlight w:val="none"/>
        </w:rPr>
        <w:t>倍，预期实现的运营净收入能够合理保障偿还融资本金和利息,能够实现项目收益和融资自求平衡。</w:t>
      </w:r>
    </w:p>
    <w:p w14:paraId="33DE0BBF">
      <w:pPr>
        <w:shd w:val="clear"/>
        <w:ind w:firstLine="0" w:firstLineChars="0"/>
        <w:jc w:val="center"/>
        <w:rPr>
          <w:rFonts w:hint="eastAsia"/>
          <w:b/>
          <w:bCs/>
          <w:color w:val="auto"/>
          <w:sz w:val="21"/>
          <w:szCs w:val="21"/>
          <w:highlight w:val="none"/>
        </w:rPr>
      </w:pPr>
      <w:r>
        <w:rPr>
          <w:b/>
          <w:bCs/>
          <w:color w:val="auto"/>
          <w:sz w:val="21"/>
          <w:szCs w:val="21"/>
          <w:highlight w:val="none"/>
        </w:rPr>
        <w:t>项目专项债券</w:t>
      </w:r>
      <w:r>
        <w:rPr>
          <w:rFonts w:hint="eastAsia"/>
          <w:b/>
          <w:bCs/>
          <w:color w:val="auto"/>
          <w:sz w:val="21"/>
          <w:szCs w:val="21"/>
          <w:highlight w:val="none"/>
          <w:lang w:val="en-US" w:eastAsia="zh-Hans"/>
        </w:rPr>
        <w:t>还本付息表</w:t>
      </w:r>
      <w:r>
        <w:rPr>
          <w:rFonts w:hint="eastAsia"/>
          <w:b/>
          <w:bCs/>
          <w:color w:val="auto"/>
          <w:sz w:val="21"/>
          <w:szCs w:val="21"/>
          <w:highlight w:val="none"/>
        </w:rPr>
        <w:t>（金额单位：人民币万元）</w:t>
      </w:r>
    </w:p>
    <w:tbl>
      <w:tblPr>
        <w:tblStyle w:val="16"/>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906"/>
        <w:gridCol w:w="874"/>
        <w:gridCol w:w="785"/>
        <w:gridCol w:w="788"/>
        <w:gridCol w:w="786"/>
        <w:gridCol w:w="786"/>
        <w:gridCol w:w="786"/>
        <w:gridCol w:w="786"/>
        <w:gridCol w:w="786"/>
        <w:gridCol w:w="786"/>
        <w:gridCol w:w="786"/>
        <w:gridCol w:w="786"/>
        <w:gridCol w:w="786"/>
        <w:gridCol w:w="786"/>
        <w:gridCol w:w="786"/>
        <w:gridCol w:w="786"/>
        <w:gridCol w:w="786"/>
        <w:gridCol w:w="829"/>
      </w:tblGrid>
      <w:tr w14:paraId="40A47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0" w:hRule="atLeast"/>
        </w:trPr>
        <w:tc>
          <w:tcPr>
            <w:tcW w:w="619" w:type="pct"/>
            <w:vMerge w:val="restart"/>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14:paraId="4543A5F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项目年份</w:t>
            </w:r>
          </w:p>
        </w:tc>
        <w:tc>
          <w:tcPr>
            <w:tcW w:w="2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16AD8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合计</w:t>
            </w:r>
          </w:p>
        </w:tc>
        <w:tc>
          <w:tcPr>
            <w:tcW w:w="511" w:type="pct"/>
            <w:gridSpan w:val="2"/>
            <w:tcBorders>
              <w:top w:val="single" w:color="000000" w:sz="4" w:space="0"/>
              <w:left w:val="single" w:color="000000" w:sz="4" w:space="0"/>
              <w:bottom w:val="single" w:color="000000" w:sz="4" w:space="0"/>
              <w:right w:val="nil"/>
            </w:tcBorders>
            <w:shd w:val="clear" w:color="auto" w:fill="auto"/>
            <w:noWrap/>
            <w:vAlign w:val="center"/>
          </w:tcPr>
          <w:p w14:paraId="75EA187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建设期</w:t>
            </w:r>
          </w:p>
        </w:tc>
        <w:tc>
          <w:tcPr>
            <w:tcW w:w="3584" w:type="pct"/>
            <w:gridSpan w:val="14"/>
            <w:tcBorders>
              <w:top w:val="single" w:color="000000" w:sz="4" w:space="0"/>
              <w:left w:val="single" w:color="000000" w:sz="4" w:space="0"/>
              <w:bottom w:val="single" w:color="000000" w:sz="4" w:space="0"/>
              <w:right w:val="nil"/>
            </w:tcBorders>
            <w:shd w:val="clear" w:color="auto" w:fill="auto"/>
            <w:vAlign w:val="center"/>
          </w:tcPr>
          <w:p w14:paraId="76CE117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项目还款期</w:t>
            </w:r>
          </w:p>
        </w:tc>
      </w:tr>
      <w:tr w14:paraId="6D0D4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vMerge w:val="continue"/>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14:paraId="34865A2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7D34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B3AB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49AF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84EC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5312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829B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0E86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D16A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AAB2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6</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0A2A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25E3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8</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A2C8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9</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1A7E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5891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FFC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12</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98ED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13</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5662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14</w:t>
            </w:r>
          </w:p>
        </w:tc>
      </w:tr>
      <w:tr w14:paraId="5BB86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5D17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发行债券（利率）</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5249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A829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C7D8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C888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BC29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36AE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D686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EB0C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8217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992B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2240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1404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C098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25B3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272F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D97F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ABB7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r>
      <w:tr w14:paraId="6F781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5EF6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期初本金金额</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9705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97FF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44C2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A932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EB4E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5980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4759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6102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AEC1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33A7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97D7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9F7D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DD29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02A7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F234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524E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136A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r>
      <w:tr w14:paraId="720B6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2E2E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本年新增本金</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51AA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A4D0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5518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FF51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AF26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F7C2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F8B5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3F7F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85CF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5153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978C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D20C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3A36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CB8C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A997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B897E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F8E8B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r>
      <w:tr w14:paraId="53993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583C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本年应计利息</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4697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5,880.00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11CF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112.00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46CC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BE3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3B9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BE5B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3953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DCB2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9661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2F41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60E0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AA68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0196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6F7C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06A4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D261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BE63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r>
      <w:tr w14:paraId="147C8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54AE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其中：计入建设期利息</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DB44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308.00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4A3D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112.00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AF59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A5C7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74FD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0972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A608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D067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ED62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CCAB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EEF1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3355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C092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B03A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8674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D7D07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CCC51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r>
      <w:tr w14:paraId="7F3BC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3B4A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计入还款期利息</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343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5,572.00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03C6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BF77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6912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919B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01C2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DC02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7EE5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BACD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15AD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0C3E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BEF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D880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3974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47E2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CF22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0B98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r>
      <w:tr w14:paraId="1C593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E32B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本年还本付息</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DF5F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12,880.00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E684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112.00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7919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0580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450F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CE30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CFF5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6843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D0C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4644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799C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9226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C12C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D19D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89E9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6B69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DDC4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r>
      <w:tr w14:paraId="64DC9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FB40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还本</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681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DDA9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8F97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1FCB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AA2C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5D31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A099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220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5875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A0ED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485F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7855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E414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C471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7CF6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310E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CF21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r>
      <w:tr w14:paraId="766A8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5EED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付息</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67F3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5,880.00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05C0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112.00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BE74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A929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0D1B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DFEB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3BC2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C227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85AD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06F5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D48E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C429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4328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B8B8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216F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0858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F6AC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r>
      <w:tr w14:paraId="787AC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1F0E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期末本金金额</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7F57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1790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21EA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EA1C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5C48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3FEB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AFD0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5740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E249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C9B8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6615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DBF3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2976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9A71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6CDE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7712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F869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r>
      <w:tr w14:paraId="73F2C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nil"/>
            </w:tcBorders>
            <w:shd w:val="clear" w:color="auto" w:fill="auto"/>
            <w:vAlign w:val="center"/>
          </w:tcPr>
          <w:p w14:paraId="527B860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还款资金来源及还款分析</w:t>
            </w:r>
          </w:p>
        </w:tc>
        <w:tc>
          <w:tcPr>
            <w:tcW w:w="284" w:type="pct"/>
            <w:tcBorders>
              <w:top w:val="single" w:color="000000" w:sz="4" w:space="0"/>
              <w:left w:val="nil"/>
              <w:bottom w:val="single" w:color="000000" w:sz="4" w:space="0"/>
              <w:right w:val="nil"/>
            </w:tcBorders>
            <w:shd w:val="clear" w:color="auto" w:fill="auto"/>
            <w:vAlign w:val="center"/>
          </w:tcPr>
          <w:p w14:paraId="10E267F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1852197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20DC14C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322CAC4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48BD3B4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4F3C2BD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378A205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3F32ADA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064AAD9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3878190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02A05E1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51A8563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0A55F90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317C08C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2C8EF98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nil"/>
              <w:bottom w:val="single" w:color="000000" w:sz="4" w:space="0"/>
              <w:right w:val="nil"/>
            </w:tcBorders>
            <w:shd w:val="clear" w:color="auto" w:fill="auto"/>
            <w:vAlign w:val="center"/>
          </w:tcPr>
          <w:p w14:paraId="7A6C306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6" w:type="pct"/>
            <w:tcBorders>
              <w:top w:val="single" w:color="000000" w:sz="4" w:space="0"/>
              <w:left w:val="nil"/>
              <w:bottom w:val="single" w:color="000000" w:sz="4" w:space="0"/>
              <w:right w:val="nil"/>
            </w:tcBorders>
            <w:shd w:val="clear" w:color="auto" w:fill="auto"/>
            <w:vAlign w:val="center"/>
          </w:tcPr>
          <w:p w14:paraId="75EE3A5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r>
      <w:tr w14:paraId="470FF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DE1C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还款资金来源</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F922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13,844.02</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F797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FF2A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CD08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505.10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8722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426.20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1D12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477.80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6AD6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502.57</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196E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502.57</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520E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502.57</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3DD2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501.50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837D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501.50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408B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501.50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1903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500.40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5D6E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500.40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A39A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500.40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8337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499.27</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230C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499.27</w:t>
            </w:r>
          </w:p>
        </w:tc>
      </w:tr>
      <w:tr w14:paraId="595FF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09FE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当年净利润</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E79F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1,717.73</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1AE3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ABE4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DDC4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83.09</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DEA6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4.19</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1A7F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55.79</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CA1E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80.56</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6E1A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80.56</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A764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80.56</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5D41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79.49</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C247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79.49</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3DDB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79.49</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CD38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78.39</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505B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78.39</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6CE0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78.39</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562F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77.26</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125D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77.26</w:t>
            </w:r>
          </w:p>
        </w:tc>
      </w:tr>
      <w:tr w14:paraId="41DB9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C30F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债券财务费用</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B601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5,572.00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807A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0B67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642F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2112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5D8E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BF76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043A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3659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1F81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6A12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A983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6534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4E60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DB59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81E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F644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r>
      <w:tr w14:paraId="5CAD4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BBED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折旧及摊销</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21E0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6,554.29</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0916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2B05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A0D2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30A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5253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5DA1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F498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357E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4619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C5A3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9D2E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4869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834C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9DA6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8D81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25A6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r>
      <w:tr w14:paraId="5E295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93F8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本息偿还分析</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C30C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3C95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080F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D08C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52A7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06DD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E8B0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768F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EE5C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0017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E317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69FB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65C0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6052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1EC7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19C4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AAEA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r>
      <w:tr w14:paraId="3C8D0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3F31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本息覆盖倍数</w:t>
            </w:r>
          </w:p>
        </w:tc>
        <w:tc>
          <w:tcPr>
            <w:tcW w:w="2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9AAD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1.07</w:t>
            </w: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B29F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43EE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6BC0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3F2E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73B2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240D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951F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7A9F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8065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262F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897F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D90E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86E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7B0B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F7A3F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8EFA6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r>
    </w:tbl>
    <w:p w14:paraId="7D54C535">
      <w:pPr>
        <w:pStyle w:val="31"/>
        <w:shd w:val="clear"/>
        <w:jc w:val="both"/>
        <w:rPr>
          <w:rFonts w:hint="eastAsia" w:eastAsia="仿宋"/>
          <w:b w:val="0"/>
          <w:bCs/>
          <w:color w:val="auto"/>
          <w:highlight w:val="none"/>
          <w:lang w:val="en-US" w:eastAsia="zh-CN"/>
        </w:rPr>
      </w:pPr>
      <w:r>
        <w:rPr>
          <w:rFonts w:hint="eastAsia"/>
          <w:b w:val="0"/>
          <w:bCs/>
          <w:color w:val="auto"/>
          <w:highlight w:val="none"/>
          <w:lang w:val="en-US" w:eastAsia="zh-CN"/>
        </w:rPr>
        <w:t>续表：</w:t>
      </w:r>
    </w:p>
    <w:tbl>
      <w:tblPr>
        <w:tblStyle w:val="16"/>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218"/>
        <w:gridCol w:w="914"/>
        <w:gridCol w:w="817"/>
        <w:gridCol w:w="817"/>
        <w:gridCol w:w="817"/>
        <w:gridCol w:w="817"/>
        <w:gridCol w:w="817"/>
        <w:gridCol w:w="817"/>
        <w:gridCol w:w="817"/>
        <w:gridCol w:w="817"/>
        <w:gridCol w:w="817"/>
        <w:gridCol w:w="817"/>
        <w:gridCol w:w="817"/>
        <w:gridCol w:w="817"/>
        <w:gridCol w:w="817"/>
        <w:gridCol w:w="817"/>
        <w:gridCol w:w="835"/>
      </w:tblGrid>
      <w:tr w14:paraId="14427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3" w:hRule="atLeast"/>
          <w:jc w:val="center"/>
        </w:trPr>
        <w:tc>
          <w:tcPr>
            <w:tcW w:w="720" w:type="pct"/>
            <w:vMerge w:val="restart"/>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14:paraId="37DB783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项目年份</w:t>
            </w:r>
          </w:p>
        </w:tc>
        <w:tc>
          <w:tcPr>
            <w:tcW w:w="2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BC5BE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合计</w:t>
            </w:r>
          </w:p>
        </w:tc>
        <w:tc>
          <w:tcPr>
            <w:tcW w:w="3981" w:type="pct"/>
            <w:gridSpan w:val="15"/>
            <w:tcBorders>
              <w:top w:val="single" w:color="000000" w:sz="4" w:space="0"/>
              <w:left w:val="single" w:color="000000" w:sz="4" w:space="0"/>
              <w:bottom w:val="single" w:color="000000" w:sz="4" w:space="0"/>
              <w:right w:val="single" w:color="auto" w:sz="4" w:space="0"/>
            </w:tcBorders>
            <w:shd w:val="clear" w:color="auto" w:fill="auto"/>
            <w:noWrap/>
            <w:vAlign w:val="center"/>
          </w:tcPr>
          <w:p w14:paraId="16E9BD6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项目还款期</w:t>
            </w:r>
          </w:p>
        </w:tc>
      </w:tr>
      <w:tr w14:paraId="56FCD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vMerge w:val="continue"/>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14:paraId="38670D7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0FC4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325B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15</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629E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16</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E762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17</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B1C0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18</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CA50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E365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3111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755C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1C34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23</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40EA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24</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F9C3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25</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908C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26</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86C9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27</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E4F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w:t>
            </w:r>
          </w:p>
        </w:tc>
        <w:tc>
          <w:tcPr>
            <w:tcW w:w="267"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1E76BCB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29</w:t>
            </w:r>
          </w:p>
        </w:tc>
      </w:tr>
      <w:tr w14:paraId="586D0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699C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发行债券（利率）</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B6E2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3204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9B42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C7E9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33EF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0F19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BB7C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F628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FF9A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B526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3D4E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7915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CF0D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1A6D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E9D7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D83C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2.80%</w:t>
            </w:r>
          </w:p>
        </w:tc>
      </w:tr>
      <w:tr w14:paraId="4D801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547B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期初本金金额</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8F75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4D35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C749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3A6E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8D7F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8E4C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3224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F59D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7AB6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005A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8DFC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5A22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E237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ED83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953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39C7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3,000.00</w:t>
            </w:r>
          </w:p>
        </w:tc>
      </w:tr>
      <w:tr w14:paraId="66F4A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94FF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本年新增本金</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85DC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B6AB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7581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0E95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0A77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CCE1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4D90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41B7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71BB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BBD9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4928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0DAC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4B83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A8ED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25B4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F458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r>
      <w:tr w14:paraId="19CFF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1778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本年应计利息</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5F64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5,880.00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BB3A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E444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9FFD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6E90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338E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DFD9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BE02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6498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AB6F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D48E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36BF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6203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D9F2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52BE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EE17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84.00</w:t>
            </w:r>
          </w:p>
        </w:tc>
      </w:tr>
      <w:tr w14:paraId="27904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EFD5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其中：计入建设期利息</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D33D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308.00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D334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5417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6563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1B9B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476D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F9C1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1C02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7038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F455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50BF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EC2F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1DB5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9A8E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839B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BF81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r>
      <w:tr w14:paraId="72E1B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6FBC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计入还款期利息</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D23E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5,572.00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8FF3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0321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2B78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D540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D6C4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DB4C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9245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43D0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2362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1C21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EC6D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DB94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ECD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2E7C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CE1B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84.00</w:t>
            </w:r>
          </w:p>
        </w:tc>
      </w:tr>
      <w:tr w14:paraId="7003A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236C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本年还本付息</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4E47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12,880.00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98BB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2D6E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844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3079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B054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3875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7769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019D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4616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85B3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D795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FB4D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04E8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7987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4,196.00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3DFB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3,084.00</w:t>
            </w:r>
          </w:p>
        </w:tc>
      </w:tr>
      <w:tr w14:paraId="3F326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69E4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还本</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D6E8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F09B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CB33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FE43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95C2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CC58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AD1E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A4DA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8FF2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F21D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6DA4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E020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8328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9867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5B6B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4,000.00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3965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3,000.00</w:t>
            </w:r>
          </w:p>
        </w:tc>
      </w:tr>
      <w:tr w14:paraId="58403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31DC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付息</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5FDB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5,880.00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1CC7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F331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33A1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AB6B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471B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B27C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2F2E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D3E0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883F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C361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7FEF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B7B2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FDD1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DD27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6C2F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84.00</w:t>
            </w:r>
          </w:p>
        </w:tc>
      </w:tr>
      <w:tr w14:paraId="4E01E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5169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期末本金金额</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8534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79BD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9B79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4A4A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8C36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4E60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3E85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DA5E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2EEA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AB92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F8A7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D8AC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DD43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BFD9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7,000.00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E702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3,000.00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4FF2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w:t>
            </w:r>
          </w:p>
        </w:tc>
      </w:tr>
      <w:tr w14:paraId="4B86C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nil"/>
            </w:tcBorders>
            <w:shd w:val="clear" w:color="auto" w:fill="auto"/>
            <w:vAlign w:val="center"/>
          </w:tcPr>
          <w:p w14:paraId="15D2917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还款资金来源及还款分析</w:t>
            </w:r>
          </w:p>
        </w:tc>
        <w:tc>
          <w:tcPr>
            <w:tcW w:w="297" w:type="pct"/>
            <w:tcBorders>
              <w:top w:val="single" w:color="000000" w:sz="4" w:space="0"/>
              <w:left w:val="nil"/>
              <w:bottom w:val="single" w:color="000000" w:sz="4" w:space="0"/>
              <w:right w:val="nil"/>
            </w:tcBorders>
            <w:shd w:val="clear" w:color="auto" w:fill="auto"/>
            <w:vAlign w:val="center"/>
          </w:tcPr>
          <w:p w14:paraId="56A885F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0111A96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6F1EEC2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44DCCEF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05AE4F5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238AF85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69D12D0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504716A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4051468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7E1CFAE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4A78025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0E52FFB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74A73FD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2F3FB41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nil"/>
              <w:bottom w:val="single" w:color="000000" w:sz="4" w:space="0"/>
              <w:right w:val="nil"/>
            </w:tcBorders>
            <w:shd w:val="clear" w:color="auto" w:fill="auto"/>
            <w:vAlign w:val="center"/>
          </w:tcPr>
          <w:p w14:paraId="61741DF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7" w:type="pct"/>
            <w:tcBorders>
              <w:top w:val="single" w:color="000000" w:sz="4" w:space="0"/>
              <w:left w:val="nil"/>
              <w:bottom w:val="single" w:color="000000" w:sz="4" w:space="0"/>
              <w:right w:val="nil"/>
            </w:tcBorders>
            <w:shd w:val="clear" w:color="auto" w:fill="auto"/>
            <w:vAlign w:val="center"/>
          </w:tcPr>
          <w:p w14:paraId="5C2E8AF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r>
      <w:tr w14:paraId="1ECA9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8EB0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还款资金来源</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531A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13,844.02</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A6EF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499.27</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DD22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498.10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FB19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498.10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1B28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458.81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29FC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455.95</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6FC5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455.95</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3E92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455.95</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6F7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454.72</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D0FC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454.72</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8506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454.72</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B73E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453.44</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2918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453.44</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2CD0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453.44</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C145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452.13</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F5A4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424.13</w:t>
            </w:r>
          </w:p>
        </w:tc>
      </w:tr>
      <w:tr w14:paraId="679BE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6910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当年净利润</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EB9C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1,717.73</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9DF5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77.26</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5059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76.09</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4FB3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76.09</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4478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36.80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DCAB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33.94</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04BC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33.94</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731B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33.94</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0C4E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32.71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EEB4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32.71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5CDB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32.71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ACE8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31.43</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5557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31.43</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1013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31.43</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FC54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30.12</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55F5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114.12</w:t>
            </w:r>
          </w:p>
        </w:tc>
      </w:tr>
      <w:tr w14:paraId="2B719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6641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债券财务费用</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8763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5,572.00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E059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2824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8E57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C71A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42AD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659E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A39F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E9BB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9120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17BC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6FD8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49ED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70A2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8F8C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196.00</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A11F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84.00</w:t>
            </w:r>
          </w:p>
        </w:tc>
      </w:tr>
      <w:tr w14:paraId="59517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BA66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折旧及摊销</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4BFD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6,554.29</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EF1F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9C87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4121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53F2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46B5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5D8E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B86E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B4F5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FC1D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B08A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1D30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0166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16E5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F63A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A9DF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226.01</w:t>
            </w:r>
          </w:p>
        </w:tc>
      </w:tr>
      <w:tr w14:paraId="038AC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835B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本息偿还分析</w:t>
            </w:r>
          </w:p>
        </w:tc>
        <w:tc>
          <w:tcPr>
            <w:tcW w:w="2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F0E2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F7E3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4BA93">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0CCB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78A7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CFA0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45C3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12EA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95426">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9D70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DADF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A169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96C7F">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9C08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C795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CA34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r>
      <w:tr w14:paraId="38D1A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atLeast"/>
          <w:jc w:val="center"/>
        </w:trPr>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F0D1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本息覆盖倍数</w:t>
            </w:r>
          </w:p>
        </w:tc>
        <w:tc>
          <w:tcPr>
            <w:tcW w:w="2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4E019">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1.07</w:t>
            </w: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9742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AE832">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713A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189DC">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2511E">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79B94">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93B57">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2E80A">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0D1FB">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F19C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A0740">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AA7B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EF7D8">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9A77D">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DC0A5">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p>
        </w:tc>
      </w:tr>
    </w:tbl>
    <w:p w14:paraId="2078F2CD">
      <w:pPr>
        <w:pStyle w:val="15"/>
        <w:shd w:val="clear"/>
        <w:rPr>
          <w:color w:val="auto"/>
          <w:highlight w:val="none"/>
        </w:rPr>
      </w:pPr>
    </w:p>
    <w:p w14:paraId="17FB6D2E">
      <w:pPr>
        <w:pStyle w:val="31"/>
        <w:shd w:val="clear"/>
        <w:rPr>
          <w:color w:val="auto"/>
          <w:highlight w:val="none"/>
        </w:rPr>
      </w:pPr>
      <w:r>
        <w:rPr>
          <w:rFonts w:hint="eastAsia"/>
          <w:color w:val="auto"/>
          <w:highlight w:val="none"/>
          <w:lang w:val="en-US" w:eastAsia="zh-Hans"/>
        </w:rPr>
        <w:t>项目资金测算平衡表</w:t>
      </w:r>
      <w:r>
        <w:rPr>
          <w:rFonts w:hint="eastAsia"/>
          <w:color w:val="auto"/>
          <w:highlight w:val="none"/>
        </w:rPr>
        <w:t>（金额单位：人民币万元）</w:t>
      </w:r>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4"/>
        <w:gridCol w:w="1111"/>
        <w:gridCol w:w="950"/>
        <w:gridCol w:w="953"/>
        <w:gridCol w:w="787"/>
        <w:gridCol w:w="787"/>
        <w:gridCol w:w="787"/>
        <w:gridCol w:w="869"/>
        <w:gridCol w:w="869"/>
        <w:gridCol w:w="869"/>
        <w:gridCol w:w="869"/>
        <w:gridCol w:w="869"/>
        <w:gridCol w:w="869"/>
        <w:gridCol w:w="869"/>
        <w:gridCol w:w="872"/>
        <w:gridCol w:w="872"/>
        <w:gridCol w:w="872"/>
        <w:gridCol w:w="916"/>
      </w:tblGrid>
      <w:tr w14:paraId="3080A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76E9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序号</w:t>
            </w:r>
          </w:p>
        </w:tc>
        <w:tc>
          <w:tcPr>
            <w:tcW w:w="3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F1F37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项目</w:t>
            </w:r>
          </w:p>
        </w:tc>
        <w:tc>
          <w:tcPr>
            <w:tcW w:w="609" w:type="pct"/>
            <w:gridSpan w:val="2"/>
            <w:tcBorders>
              <w:top w:val="single" w:color="000000" w:sz="4" w:space="0"/>
              <w:left w:val="single" w:color="000000" w:sz="4" w:space="0"/>
              <w:bottom w:val="single" w:color="000000" w:sz="4" w:space="0"/>
              <w:right w:val="single" w:color="auto" w:sz="4" w:space="0"/>
            </w:tcBorders>
            <w:shd w:val="clear" w:color="auto" w:fill="auto"/>
            <w:noWrap/>
            <w:vAlign w:val="center"/>
          </w:tcPr>
          <w:p w14:paraId="720638F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建设期</w:t>
            </w:r>
          </w:p>
        </w:tc>
        <w:tc>
          <w:tcPr>
            <w:tcW w:w="3832" w:type="pct"/>
            <w:gridSpan w:val="14"/>
            <w:tcBorders>
              <w:top w:val="single" w:color="000000" w:sz="4" w:space="0"/>
              <w:left w:val="single" w:color="auto" w:sz="4" w:space="0"/>
              <w:bottom w:val="single" w:color="000000" w:sz="4" w:space="0"/>
              <w:right w:val="nil"/>
            </w:tcBorders>
            <w:shd w:val="clear" w:color="auto" w:fill="auto"/>
            <w:noWrap/>
            <w:vAlign w:val="center"/>
          </w:tcPr>
          <w:p w14:paraId="7AF09DA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运营期（年）</w:t>
            </w:r>
          </w:p>
        </w:tc>
      </w:tr>
      <w:tr w14:paraId="3B2D6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3E1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C0C4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A03C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w:t>
            </w:r>
          </w:p>
        </w:tc>
        <w:tc>
          <w:tcPr>
            <w:tcW w:w="304"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6C5D5AB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w:t>
            </w:r>
          </w:p>
        </w:tc>
        <w:tc>
          <w:tcPr>
            <w:tcW w:w="252"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14A6B2E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F2E5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990F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2149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6914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F180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DA3E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3C45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8</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233D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9</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960B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7233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4B4B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7D2D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13</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3C28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14</w:t>
            </w:r>
          </w:p>
        </w:tc>
      </w:tr>
      <w:tr w14:paraId="717A4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9423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7957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经营活动净现金流量（</w:t>
            </w:r>
            <w:r>
              <w:rPr>
                <w:rFonts w:hint="default" w:ascii="仿宋" w:hAnsi="仿宋" w:eastAsia="仿宋" w:cs="仿宋"/>
                <w:i w:val="0"/>
                <w:iCs w:val="0"/>
                <w:color w:val="auto"/>
                <w:kern w:val="2"/>
                <w:sz w:val="16"/>
                <w:szCs w:val="16"/>
                <w:highlight w:val="none"/>
                <w:u w:val="none"/>
                <w:lang w:val="en-US" w:eastAsia="zh-CN" w:bidi="ar"/>
              </w:rPr>
              <w:t>1.1-1.2</w:t>
            </w:r>
            <w:r>
              <w:rPr>
                <w:rFonts w:hint="eastAsia" w:ascii="仿宋" w:hAnsi="仿宋" w:eastAsia="仿宋" w:cs="仿宋"/>
                <w:i w:val="0"/>
                <w:iCs w:val="0"/>
                <w:color w:val="auto"/>
                <w:kern w:val="2"/>
                <w:sz w:val="16"/>
                <w:szCs w:val="16"/>
                <w:highlight w:val="none"/>
                <w:u w:val="none"/>
                <w:lang w:val="en-US" w:eastAsia="zh-CN" w:bidi="ar"/>
              </w:rPr>
              <w:t>）</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3AD0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8F73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0412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505.10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1B77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426.20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E055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477.80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EF29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502.57</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4A86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502.57</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8854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502.57</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FAAB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501.50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C5FD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501.50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DD8E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501.50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68D9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500.40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E488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500.40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86CE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500.40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EE02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499.27</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E2A6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499.27</w:t>
            </w:r>
          </w:p>
        </w:tc>
      </w:tr>
      <w:tr w14:paraId="43704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B31E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C741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现金流入</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77A5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9B25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0D1A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655.62</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2D26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550.42</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67BA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619.22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D622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F207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1D6F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BCB3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F07B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999D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8963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4C63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712E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22D8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F00C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r>
      <w:tr w14:paraId="31CF5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234C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1.1.1</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8AFF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营业收入</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83BE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553F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4F37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655.62</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1F38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550.42</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A34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619.22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3AF3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B446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8636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1C84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14B7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E9F5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4702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5241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362D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E471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CB24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r>
      <w:tr w14:paraId="3ECA3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0D2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E124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补贴收入</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A9B5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3823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1A37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E319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2478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B465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C5E3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8DF9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F503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F1C3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9998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14A6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B937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8F46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2830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F796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r>
      <w:tr w14:paraId="65DCC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34F0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1.1.3</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2FD0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其他流入</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069E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BAFC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60B8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56E9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DB32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D25E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3F44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71BE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47A1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A2C8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6929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3D57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A4D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BC01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F8BB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AF46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2F839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E724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B054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现金流出</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C2A9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BB65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183F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150.52</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F3D4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124.22</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B4F8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141.42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D49E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151.05</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A8B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151.05</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890E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151.05</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458E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152.12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04AE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152.12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4063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152.12</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5AED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153.22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5902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153.22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FDA7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153.22</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AFFB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154.35</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E19F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154.35</w:t>
            </w:r>
          </w:p>
        </w:tc>
      </w:tr>
      <w:tr w14:paraId="324DA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45C8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1.2.1</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7436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经营成本</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9ABA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B363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B271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99.09</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71D0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99.09</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8132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99.09</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A24C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100.47</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F29C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100.47</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098F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100.47</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53E7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101.89</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6A25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101.89</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0387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101.89</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CF59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103.36</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54C9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103.36</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2D18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103.36</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B861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104.86</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A81B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104.86</w:t>
            </w:r>
          </w:p>
        </w:tc>
      </w:tr>
      <w:tr w14:paraId="1C1CA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0E88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1.2.2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7580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税金及附加</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F8CC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EF69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37FB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9D9C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D725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43D2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F6E3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9CF5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9303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DA38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D597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55C9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13FD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772A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CE8A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0537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r>
      <w:tr w14:paraId="20E85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3384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1.2.3</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0C6D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所得税</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E41C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A057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9FA4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27.70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3A07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1.40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90A2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18.60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C8DD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26.85</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CA22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26.85</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C05E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26.85</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450E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26.50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5AA8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26.50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A0F2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26.50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9B4E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26.13</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D2DA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26.13</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9A30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26.13</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9E58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25.76</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6F1B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25.76</w:t>
            </w:r>
          </w:p>
        </w:tc>
      </w:tr>
      <w:tr w14:paraId="42B99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401E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30A6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投资活动净现金流量</w:t>
            </w:r>
            <w:r>
              <w:rPr>
                <w:rFonts w:hint="default" w:ascii="仿宋" w:hAnsi="仿宋" w:eastAsia="仿宋" w:cs="仿宋"/>
                <w:i w:val="0"/>
                <w:iCs w:val="0"/>
                <w:color w:val="auto"/>
                <w:kern w:val="2"/>
                <w:sz w:val="16"/>
                <w:szCs w:val="16"/>
                <w:highlight w:val="none"/>
                <w:u w:val="none"/>
                <w:lang w:val="en-US" w:eastAsia="zh-CN" w:bidi="ar"/>
              </w:rPr>
              <w:t>(2.1-2.2)</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2F25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-5,828.00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067E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-4,483.00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B601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46EB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5B19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5562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D875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96D9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1C53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E4D6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12ED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10EE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A2DF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95C9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4764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9862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10E56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5CF4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2.1</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427B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现金流入</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67AE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7886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E26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3E7C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8AD3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B5B6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3AE5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8458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0090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7F1D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F270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445E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68BC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5C0D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7319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E3A5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420AF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B252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979E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现金流出</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0BCA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5,828.00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94E7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4,483.00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1BC5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7188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83C8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B157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5637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7001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D2B8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1798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C3BE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2511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511C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13CA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EF5B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C9F8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r>
      <w:tr w14:paraId="5D805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71F1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2.2.1</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453F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建设投资</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04BA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5,828.00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A691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4,483.00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387B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4E1E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48B3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3457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8657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D59E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75B4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9F2A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DA9B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AF35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CB5E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9A46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EE22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9CD9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41B36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7490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2.2.2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F723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维持运营投资</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3B1A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EF61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786C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ABF5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71D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37DF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2831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E025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8CBF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09E7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39ED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3356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1E89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F06F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3EBC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C1EE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6F9A8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9A72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2.2.3</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CCE7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流动资金</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2F1D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6A98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2D62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DC46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BA66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99DB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AC9F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91D7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66BC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4130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1FF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AE14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BC3F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3BBB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C872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D381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5BB8C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D74B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2.2.4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7058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其他流出</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E46C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62BD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62A7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2171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5C05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C647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5915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0D30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B021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9F20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C3DF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80EF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3499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37EB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D1E1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A39D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3DC8A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CE05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5EC0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筹资活动净现金流量</w:t>
            </w:r>
            <w:r>
              <w:rPr>
                <w:rFonts w:hint="default" w:ascii="仿宋" w:hAnsi="仿宋" w:eastAsia="仿宋" w:cs="仿宋"/>
                <w:i w:val="0"/>
                <w:iCs w:val="0"/>
                <w:color w:val="auto"/>
                <w:kern w:val="2"/>
                <w:sz w:val="16"/>
                <w:szCs w:val="16"/>
                <w:highlight w:val="none"/>
                <w:u w:val="none"/>
                <w:lang w:val="en-US" w:eastAsia="zh-CN" w:bidi="ar"/>
              </w:rPr>
              <w:t>(3.1-3.2)</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3A29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5,828.00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8D8E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4,483.00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CF4B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0908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1BA9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ABE4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91C4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3A8B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7886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9483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FD60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BCE4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6FEF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8FCD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7C18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1ADD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r>
      <w:tr w14:paraId="6DDDF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6DC2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2180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现金流入</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8FE4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5,828.00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E6AA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4,483.00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BDB0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5897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9AB2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CF5D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98CA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BCBD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EC60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1B3E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F955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29FC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1709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7923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164D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5353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6DA58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3878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3.1.1</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7C39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项目资本金投入</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516C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1,828.00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264B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1,483.00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B9A5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02D7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8975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5C90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AA6A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4E9F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9950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3AC1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59C0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11A8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5616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8D1E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9C6F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862B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04337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8F5E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B0FE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建设投资借款</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A134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3F30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32C8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05CD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737A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913D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84AB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EF27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05AB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7390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2986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50BD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0B48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8CF0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8A41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45B1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18B2C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F3ED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3.1.3</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1A94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流动资金借款</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5087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AFB1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D68D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82AB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C865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757F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43EB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6353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265C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1A44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4A9A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7023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8C51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E2A7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B603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A8BD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06CFC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6EBA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1215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债券资金流入</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3BA7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4,000.00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98B1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3,000.00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BE2B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EF3E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C1DB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931C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B18F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8FAA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8D47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9FC0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9716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863E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0722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C1B2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4A0D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931D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2DD49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23BE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3.1.5</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89C9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市场化融资流入</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96B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85D4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9100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2DCD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4069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1207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CE93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67FA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22E5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56B6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1989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0DA8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2218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F7FA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27E6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7358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5C568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16A2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3.1.6</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2065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其他流入</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9CBB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338B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1653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580C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4204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CF5F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B8B8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ABAE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41BD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4882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E9E7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9B7D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BA02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3D4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DDA1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7CFA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4F561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9AD1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40D7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现金流出</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CB23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74DC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AB78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93E3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9515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5040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14D9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597D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D9C5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EF32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436D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0DD5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8C92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139A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CED0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5B6C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r>
      <w:tr w14:paraId="0EB24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EDCA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3.2.1</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E4FD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各种利息支出</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36C9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BDA4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5B50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45D4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F513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42CB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4116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625E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81DC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56F6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B79D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EA53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2383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AFF8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3B98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909E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r>
      <w:tr w14:paraId="4F6A6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F9A7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3.2.2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1E38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偿还债券本金流出</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20FF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9A08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4275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CE56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7F53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4E3F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311B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B6CF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E249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F872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75BD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90F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545D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7866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983F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7879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r>
      <w:tr w14:paraId="6B2D7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2FBC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3.2.3</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886D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偿还市场化融资本金流出</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8735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5252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E0A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AB2E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8035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6669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C13C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B09C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82A0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DB3A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98D1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B7D1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02F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D9AE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3D10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B82D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3726D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BB82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3.2.4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C2CF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其他流出</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3DA7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8341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11A5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68C2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557F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8AF0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EA0B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1673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99B6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3FCB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7E49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6391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2973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A7E8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DDE8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FF40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31EE9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5661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365F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净现金流量（</w:t>
            </w:r>
            <w:r>
              <w:rPr>
                <w:rFonts w:hint="default" w:ascii="仿宋" w:hAnsi="仿宋" w:eastAsia="仿宋" w:cs="仿宋"/>
                <w:i w:val="0"/>
                <w:iCs w:val="0"/>
                <w:color w:val="auto"/>
                <w:kern w:val="2"/>
                <w:sz w:val="16"/>
                <w:szCs w:val="16"/>
                <w:highlight w:val="none"/>
                <w:u w:val="none"/>
                <w:lang w:val="en-US" w:eastAsia="zh-CN" w:bidi="ar"/>
              </w:rPr>
              <w:t>1+2+3</w:t>
            </w:r>
            <w:r>
              <w:rPr>
                <w:rFonts w:hint="eastAsia" w:ascii="仿宋" w:hAnsi="仿宋" w:eastAsia="仿宋" w:cs="仿宋"/>
                <w:i w:val="0"/>
                <w:iCs w:val="0"/>
                <w:color w:val="auto"/>
                <w:kern w:val="2"/>
                <w:sz w:val="16"/>
                <w:szCs w:val="16"/>
                <w:highlight w:val="none"/>
                <w:u w:val="none"/>
                <w:lang w:val="en-US" w:eastAsia="zh-CN" w:bidi="ar"/>
              </w:rPr>
              <w:t>）</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8177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F828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C0D5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309.10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1E04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230.20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AE29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281.80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837E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306.57</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0C86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306.57</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E6C7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306.57</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A312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305.50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494B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305.50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7732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305.50</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5A34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304.40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184B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304.40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2EC4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304.40</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DC0A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303.27</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B925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303.27</w:t>
            </w:r>
          </w:p>
        </w:tc>
      </w:tr>
      <w:tr w14:paraId="291CD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F745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D355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累计盈余资金</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194D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5C2D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DF6E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309.10</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9B2C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539.31</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6C93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821.11</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8C41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1,127.68</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1175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1,434.26</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0F9C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1,740.83</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FB00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2,046.33</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E216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2,351.84</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D2FB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2,657.34</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19D0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2,961.75</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48AE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3,266.15</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4BA9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3,570.55</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F105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3,873.83</w:t>
            </w:r>
          </w:p>
        </w:tc>
        <w:tc>
          <w:tcPr>
            <w:tcW w:w="2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408E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4,177.10</w:t>
            </w:r>
          </w:p>
        </w:tc>
      </w:tr>
    </w:tbl>
    <w:p w14:paraId="6A9DEB15">
      <w:pPr>
        <w:pStyle w:val="20"/>
        <w:shd w:val="clear"/>
        <w:ind w:firstLine="0" w:firstLineChars="0"/>
        <w:rPr>
          <w:rFonts w:hint="eastAsia" w:ascii="仿宋" w:hAnsi="仿宋" w:eastAsia="仿宋" w:cs="仿宋"/>
          <w:color w:val="auto"/>
          <w:sz w:val="24"/>
          <w:highlight w:val="none"/>
          <w:lang w:val="en-US" w:eastAsia="zh-CN"/>
        </w:rPr>
      </w:pPr>
    </w:p>
    <w:p w14:paraId="7CBA984D">
      <w:pPr>
        <w:pStyle w:val="20"/>
        <w:shd w:val="clear"/>
        <w:ind w:firstLine="440"/>
        <w:rPr>
          <w:rFonts w:hint="eastAsia" w:ascii="仿宋" w:hAnsi="仿宋" w:eastAsia="仿宋" w:cs="仿宋"/>
          <w:color w:val="auto"/>
          <w:sz w:val="24"/>
          <w:highlight w:val="none"/>
          <w:lang w:val="en-US" w:eastAsia="zh-CN"/>
        </w:rPr>
      </w:pPr>
    </w:p>
    <w:p w14:paraId="34F3BE3C">
      <w:pPr>
        <w:pStyle w:val="20"/>
        <w:shd w:val="clear"/>
        <w:ind w:firstLine="440"/>
        <w:rPr>
          <w:rFonts w:hint="eastAsia" w:eastAsia="宋体"/>
          <w:color w:val="auto"/>
          <w:highlight w:val="none"/>
          <w:lang w:val="en-US" w:eastAsia="zh-CN"/>
        </w:rPr>
      </w:pPr>
      <w:r>
        <w:rPr>
          <w:rFonts w:hint="eastAsia" w:ascii="仿宋" w:hAnsi="仿宋" w:eastAsia="仿宋" w:cs="仿宋"/>
          <w:color w:val="auto"/>
          <w:sz w:val="24"/>
          <w:highlight w:val="none"/>
          <w:lang w:val="en-US" w:eastAsia="zh-CN"/>
        </w:rPr>
        <w:t>续表：</w:t>
      </w:r>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11"/>
        <w:gridCol w:w="2924"/>
        <w:gridCol w:w="811"/>
        <w:gridCol w:w="811"/>
        <w:gridCol w:w="712"/>
        <w:gridCol w:w="712"/>
        <w:gridCol w:w="715"/>
        <w:gridCol w:w="715"/>
        <w:gridCol w:w="715"/>
        <w:gridCol w:w="715"/>
        <w:gridCol w:w="715"/>
        <w:gridCol w:w="715"/>
        <w:gridCol w:w="715"/>
        <w:gridCol w:w="715"/>
        <w:gridCol w:w="715"/>
        <w:gridCol w:w="715"/>
        <w:gridCol w:w="715"/>
        <w:gridCol w:w="1057"/>
      </w:tblGrid>
      <w:tr w14:paraId="0A573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57" w:hRule="atLeast"/>
        </w:trPr>
        <w:tc>
          <w:tcPr>
            <w:tcW w:w="16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30DC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序号</w:t>
            </w:r>
          </w:p>
        </w:tc>
        <w:tc>
          <w:tcPr>
            <w:tcW w:w="9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22EBE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项目</w:t>
            </w:r>
          </w:p>
        </w:tc>
        <w:tc>
          <w:tcPr>
            <w:tcW w:w="3883" w:type="pct"/>
            <w:gridSpan w:val="16"/>
            <w:tcBorders>
              <w:top w:val="single" w:color="000000" w:sz="4" w:space="0"/>
              <w:left w:val="single" w:color="000000" w:sz="4" w:space="0"/>
              <w:bottom w:val="single" w:color="000000" w:sz="4" w:space="0"/>
              <w:right w:val="nil"/>
            </w:tcBorders>
            <w:shd w:val="clear" w:color="auto" w:fill="auto"/>
            <w:noWrap/>
            <w:vAlign w:val="center"/>
          </w:tcPr>
          <w:p w14:paraId="71D1D1A1">
            <w:pPr>
              <w:keepNext w:val="0"/>
              <w:keepLines w:val="0"/>
              <w:widowControl/>
              <w:suppressLineNumbers w:val="0"/>
              <w:shd w:val="clear"/>
              <w:spacing w:line="240" w:lineRule="auto"/>
              <w:ind w:firstLine="0" w:firstLineChars="0"/>
              <w:jc w:val="center"/>
              <w:textAlignment w:val="auto"/>
              <w:rPr>
                <w:rFonts w:hint="eastAsia"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运营期（年）</w:t>
            </w:r>
          </w:p>
        </w:tc>
      </w:tr>
      <w:tr w14:paraId="6ED6A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C8DB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9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C011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EBE2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F3EE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16</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4540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17</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6809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0FA1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0D23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6218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21</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9C0F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C724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545B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9581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F588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BF0A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E258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28</w:t>
            </w:r>
          </w:p>
        </w:tc>
        <w:tc>
          <w:tcPr>
            <w:tcW w:w="232" w:type="pct"/>
            <w:tcBorders>
              <w:top w:val="single" w:color="000000" w:sz="4" w:space="0"/>
              <w:left w:val="single" w:color="000000" w:sz="4" w:space="0"/>
              <w:bottom w:val="single" w:color="000000" w:sz="4" w:space="0"/>
              <w:right w:val="single" w:color="auto" w:sz="4" w:space="0"/>
            </w:tcBorders>
            <w:shd w:val="clear" w:color="auto" w:fill="auto"/>
            <w:noWrap/>
            <w:vAlign w:val="center"/>
          </w:tcPr>
          <w:p w14:paraId="1A77AB3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29</w:t>
            </w:r>
          </w:p>
        </w:tc>
        <w:tc>
          <w:tcPr>
            <w:tcW w:w="338"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4CEBCC6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合计</w:t>
            </w:r>
          </w:p>
        </w:tc>
      </w:tr>
      <w:tr w14:paraId="3E731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8414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7135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经营活动净现金流量（</w:t>
            </w:r>
            <w:r>
              <w:rPr>
                <w:rFonts w:hint="default" w:ascii="仿宋" w:hAnsi="仿宋" w:eastAsia="仿宋" w:cs="仿宋"/>
                <w:i w:val="0"/>
                <w:iCs w:val="0"/>
                <w:color w:val="auto"/>
                <w:kern w:val="2"/>
                <w:sz w:val="16"/>
                <w:szCs w:val="16"/>
                <w:highlight w:val="none"/>
                <w:u w:val="none"/>
                <w:lang w:val="en-US" w:eastAsia="zh-CN" w:bidi="ar"/>
              </w:rPr>
              <w:t>1.1-1.2</w:t>
            </w:r>
            <w:r>
              <w:rPr>
                <w:rFonts w:hint="eastAsia" w:ascii="仿宋" w:hAnsi="仿宋" w:eastAsia="仿宋" w:cs="仿宋"/>
                <w:i w:val="0"/>
                <w:iCs w:val="0"/>
                <w:color w:val="auto"/>
                <w:kern w:val="2"/>
                <w:sz w:val="16"/>
                <w:szCs w:val="16"/>
                <w:highlight w:val="none"/>
                <w:u w:val="none"/>
                <w:lang w:val="en-US" w:eastAsia="zh-CN" w:bidi="ar"/>
              </w:rPr>
              <w:t>）</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31B2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499.27</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C45B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498.10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1F72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498.10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983B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458.81</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6934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455.95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825A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455.95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1AEA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455.95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95E0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454.72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7C2E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454.72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DC5A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454.72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023F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453.44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EA52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453.44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5822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453.44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B683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452.13</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DFD5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424.13</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B4CC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13,844.02</w:t>
            </w:r>
          </w:p>
        </w:tc>
      </w:tr>
      <w:tr w14:paraId="65493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E099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87C8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现金流入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3972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7528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FFF5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0FCA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4681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937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1DE7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27D3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8B16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E416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952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F803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94E4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1A33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6D53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7B92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18,819.38</w:t>
            </w:r>
          </w:p>
        </w:tc>
      </w:tr>
      <w:tr w14:paraId="28F2F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2D80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1.1.1</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3E2B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营业收入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62A9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E968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CCFC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91A4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E32F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AC32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A989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B96B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573E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7BA8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54DB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4596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B068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6B51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6FC6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653.62</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14A6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18,819.38</w:t>
            </w:r>
          </w:p>
        </w:tc>
      </w:tr>
      <w:tr w14:paraId="39B23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AAB8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1.1.2</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DABA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补贴收入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140C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0789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8229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6CA4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43D0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646E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F5D0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80CA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8D33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BDE2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87F9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FB27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F024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815C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08AD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DBE0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r>
      <w:tr w14:paraId="5F00B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BB5C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1.1.3</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AA6B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其他流入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13C9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BC73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649A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4ADD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D0BC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FE59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A9C4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3248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07F0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FDF7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8A67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C1E7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8517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164B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5D4D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5155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r>
      <w:tr w14:paraId="71723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0743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1.2</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0C33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现金流出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B091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154.35</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D089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155.52</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303B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155.52</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45F0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194.81</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4903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197.67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3507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197.67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AE4F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197.67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A78A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198.90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335E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198.90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FC49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198.90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CB1D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200.18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5392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200.18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9413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200.18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5201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201.49</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CFE9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229.49</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5D68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4,975.36</w:t>
            </w:r>
          </w:p>
        </w:tc>
      </w:tr>
      <w:tr w14:paraId="7E10F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6191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1.2.1</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8283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经营成本</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4CC2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104.86</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560F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106.42</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3B8C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106.42</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D744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106.42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7FD2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108.02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1C59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108.02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14E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108.02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9DDF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109.66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E221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109.66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11C9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109.66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49C1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111.36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5C8C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111.36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6E7E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111.36</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1734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113.11</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FB44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113.11</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8A81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3,061.65</w:t>
            </w:r>
          </w:p>
        </w:tc>
      </w:tr>
      <w:tr w14:paraId="0B7FA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0469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1.2.2</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B359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税金及附加</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5C2A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6AA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6F95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23.73</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D04F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76.11</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3251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78.34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2537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78.34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8206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78.34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4D3A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78.34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CF0A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78.34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11C9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78.34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F593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78.34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1628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78.34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10AF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78.34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EAD3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78.34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5D4B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78.34</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A9DE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1,341.13</w:t>
            </w:r>
          </w:p>
        </w:tc>
      </w:tr>
      <w:tr w14:paraId="791D2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2631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1.2.3</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131E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所得税</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513A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25.76</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BDAE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25.37</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1B3D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25.37</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BB3F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12.27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023D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11.31</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8B6A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11.31</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25A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11.31</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65E3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10.90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9DAC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10.90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CDED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10.90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590C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10.48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A928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10.48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2010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10.48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F998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10.04</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5DF8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38.04</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7013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572.58</w:t>
            </w:r>
          </w:p>
        </w:tc>
      </w:tr>
      <w:tr w14:paraId="6D657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03BD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B81A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投资活动净现金流量</w:t>
            </w:r>
            <w:r>
              <w:rPr>
                <w:rFonts w:hint="default" w:ascii="仿宋" w:hAnsi="仿宋" w:eastAsia="仿宋" w:cs="仿宋"/>
                <w:i w:val="0"/>
                <w:iCs w:val="0"/>
                <w:color w:val="auto"/>
                <w:kern w:val="2"/>
                <w:sz w:val="16"/>
                <w:szCs w:val="16"/>
                <w:highlight w:val="none"/>
                <w:u w:val="none"/>
                <w:lang w:val="en-US" w:eastAsia="zh-CN" w:bidi="ar"/>
              </w:rPr>
              <w:t>(2.1-2.2)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1C49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7408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F908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7047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62EA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A75A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F5BB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EDD7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9F9B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6D19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0621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C42B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60E4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4244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81E6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869F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-10,311.00</w:t>
            </w:r>
          </w:p>
        </w:tc>
      </w:tr>
      <w:tr w14:paraId="2A30A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2681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2.1</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337A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现金流入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C894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D3AF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1007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FCD1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6E74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BAB1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E60D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3BAE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7C2A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D86E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45CD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ABBA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D033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E555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0CB5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C683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r>
      <w:tr w14:paraId="71D4F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E90D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2.2</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3AA1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现金流出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BB86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B720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80E8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6C4A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F691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2A56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C50F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1E2F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FF1E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7E2C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C2E2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B781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757A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9F68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7C0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DAC5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10,311.00</w:t>
            </w:r>
          </w:p>
        </w:tc>
      </w:tr>
      <w:tr w14:paraId="01D40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ADF0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2.2.1</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4B14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建设投资</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CC98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B1F9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3F82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62CE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20C5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5A7B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AE8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F207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852B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D275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B48A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EEC4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69AF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2B6E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A86B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28C6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10,311.00</w:t>
            </w:r>
          </w:p>
        </w:tc>
      </w:tr>
      <w:tr w14:paraId="307EC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C4DA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2.2.2</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B8B6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维持运营投资</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8842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9FEA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3866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E6E3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7212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A885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C3A3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D97D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231B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53A0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BBD2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795A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394F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6C42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935C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7E89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r>
      <w:tr w14:paraId="3A0CF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D127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2.2.3</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4CF8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流动资金</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E529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9B21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BF27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A7E3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B760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A3EC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8BC7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10B5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D154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A2A6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DDB5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87DC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A5FF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6962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E4A0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B839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r>
      <w:tr w14:paraId="4706F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1A7B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2.2.4</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50FC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其他流出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AD6E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031F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C8FB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016A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71FB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30AC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06CA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C420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F6CF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5E62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EFD9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00B0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774A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D7E7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33B6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2EF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r>
      <w:tr w14:paraId="5BBC7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D3D7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716F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筹资活动净现金流量</w:t>
            </w:r>
            <w:r>
              <w:rPr>
                <w:rFonts w:hint="default" w:ascii="仿宋" w:hAnsi="仿宋" w:eastAsia="仿宋" w:cs="仿宋"/>
                <w:i w:val="0"/>
                <w:iCs w:val="0"/>
                <w:color w:val="auto"/>
                <w:kern w:val="2"/>
                <w:sz w:val="16"/>
                <w:szCs w:val="16"/>
                <w:highlight w:val="none"/>
                <w:u w:val="none"/>
                <w:lang w:val="en-US" w:eastAsia="zh-CN" w:bidi="ar"/>
              </w:rPr>
              <w:t>(3.1-3.2)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0820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5,828.00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BB19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4,483.00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E9F7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9B89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E23D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D3B6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BCE2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5BD8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D859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3423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AE7D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7BE8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1D45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4DA4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3791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0A5E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-2,261.00</w:t>
            </w:r>
          </w:p>
        </w:tc>
      </w:tr>
      <w:tr w14:paraId="585B3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575A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F3D0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现金流入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6DDB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5,828.00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01AA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4,483.00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E2AF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E2D3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1EE6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C2A6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DA72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9D19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D200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BDD5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5E46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4F16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ABF8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F31A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F67C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5B40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10,311.00</w:t>
            </w:r>
          </w:p>
        </w:tc>
      </w:tr>
      <w:tr w14:paraId="50D5B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389C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3.1.1</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6C8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项目资本金投入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79FA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1,828.00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EF69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1,483.00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89EE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B9B3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6224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0430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4F4C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9739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DD9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CBBF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E678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CBA2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CD77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EC75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A821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81B2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3,311.00</w:t>
            </w:r>
          </w:p>
        </w:tc>
      </w:tr>
      <w:tr w14:paraId="7A754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C9B4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3.1.2</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3A0E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建设投资借款</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045D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33BF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076B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A290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E91E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BFF9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62B0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BA86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95A6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F9A6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1F31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B8E9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C4FD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6A5E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C93D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023B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3E3EE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FDC7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3.1.3</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45FB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流动资金借款</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1D77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74F3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FCCC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C9D6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81E0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1DC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7FA8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CAD9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9024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1C6F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513F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60A6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A862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9F86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A0E0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2099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r w14:paraId="0A352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11E8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3.1.4</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DD99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债券资金流入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678E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4,000.00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F3BA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3,000.00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64BE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1658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D48C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CA4C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1D62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590E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B156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D01E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345D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9457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CB49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334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20FA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3BFA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7,000.00</w:t>
            </w:r>
          </w:p>
        </w:tc>
      </w:tr>
      <w:tr w14:paraId="76B9C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171C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3.1.5</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8209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市场化融资流入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C2B3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DC01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EDCD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8F59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070B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6BA6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DED2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5200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6307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58DB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9B74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9472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7B3B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DDE6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E232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4B50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r>
      <w:tr w14:paraId="02684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E723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3.1.6</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479B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其他流入</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AA5F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527C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BA95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A004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85BE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E445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B3FF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F050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4DB4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274B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4204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680F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899D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8E5B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CB6C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DEDB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r>
      <w:tr w14:paraId="545E3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5EE3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3.2</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9253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现金流出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8443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DA75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5914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46AC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19A4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7DF0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B3E9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51B3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851B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8B36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16DE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591C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4887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56D1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01E0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6451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12,572.00</w:t>
            </w:r>
          </w:p>
        </w:tc>
      </w:tr>
      <w:tr w14:paraId="16D1C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15B9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3.2.1</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01F5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各种利息支出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ADE3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CADA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A7FA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6E0D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87E4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CFA1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1C20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45BE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113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257C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1AE0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E742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730A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4414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4DC2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196.00</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52A0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5,572.00</w:t>
            </w:r>
          </w:p>
        </w:tc>
      </w:tr>
      <w:tr w14:paraId="69FEB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A45B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3.2.2</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B5B5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偿还债券本金流出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91A9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F51E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EF97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9CDD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8C3B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DEC6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9A52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E596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ABE9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9725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69B3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1D5E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E000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B3D8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C904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9803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7,000.00</w:t>
            </w:r>
          </w:p>
        </w:tc>
      </w:tr>
      <w:tr w14:paraId="4F291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2DA0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3.2.3</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C164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偿还市场化融资本金流出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EB67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AB58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D6AD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F02D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9F5B4">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E5E3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4A9E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8F80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4258B">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30AF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9FF5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9D5D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7A8D5">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81B7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5E1E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B7F7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r>
      <w:tr w14:paraId="2FBB8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0709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3.2.4</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E812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其他流出</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3E31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C60E2">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4FA0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7F37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737E8">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339F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BED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1610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E9A5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829D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4853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B0AF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CFBD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17FB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A0D3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6612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r>
      <w:tr w14:paraId="4B204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36F1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4</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07C1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净现金流量（</w:t>
            </w:r>
            <w:r>
              <w:rPr>
                <w:rFonts w:hint="default" w:ascii="仿宋" w:hAnsi="仿宋" w:eastAsia="仿宋" w:cs="仿宋"/>
                <w:i w:val="0"/>
                <w:iCs w:val="0"/>
                <w:color w:val="auto"/>
                <w:kern w:val="2"/>
                <w:sz w:val="16"/>
                <w:szCs w:val="16"/>
                <w:highlight w:val="none"/>
                <w:u w:val="none"/>
                <w:lang w:val="en-US" w:eastAsia="zh-CN" w:bidi="ar"/>
              </w:rPr>
              <w:t>1+2+3</w:t>
            </w:r>
            <w:r>
              <w:rPr>
                <w:rFonts w:hint="eastAsia" w:ascii="仿宋" w:hAnsi="仿宋" w:eastAsia="仿宋" w:cs="仿宋"/>
                <w:i w:val="0"/>
                <w:iCs w:val="0"/>
                <w:color w:val="auto"/>
                <w:kern w:val="2"/>
                <w:sz w:val="16"/>
                <w:szCs w:val="16"/>
                <w:highlight w:val="none"/>
                <w:u w:val="none"/>
                <w:lang w:val="en-US" w:eastAsia="zh-CN" w:bidi="ar"/>
              </w:rPr>
              <w:t>）</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BB83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F6EBF">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0.00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5B94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309.10</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D166A">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230.20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9C68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281.80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60B6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306.57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2FFB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306.57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40A80">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306.57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332B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305.50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82E36">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305.50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8DA47">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305.50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EFFE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304.40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1DA9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304.40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82D9C">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304.40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C8213">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303.27</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45481">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1,272.02</w:t>
            </w:r>
          </w:p>
        </w:tc>
      </w:tr>
      <w:tr w14:paraId="50A18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rPr>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1B61E">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default" w:ascii="仿宋" w:hAnsi="仿宋" w:eastAsia="仿宋" w:cs="仿宋"/>
                <w:i w:val="0"/>
                <w:iCs w:val="0"/>
                <w:color w:val="auto"/>
                <w:kern w:val="2"/>
                <w:sz w:val="16"/>
                <w:szCs w:val="16"/>
                <w:highlight w:val="none"/>
                <w:u w:val="none"/>
                <w:lang w:val="en-US" w:eastAsia="zh-CN" w:bidi="ar"/>
              </w:rPr>
              <w:t>5</w:t>
            </w:r>
          </w:p>
        </w:tc>
        <w:tc>
          <w:tcPr>
            <w:tcW w:w="9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4DC1D">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r>
              <w:rPr>
                <w:rFonts w:hint="eastAsia" w:ascii="仿宋" w:hAnsi="仿宋" w:eastAsia="仿宋" w:cs="仿宋"/>
                <w:i w:val="0"/>
                <w:iCs w:val="0"/>
                <w:color w:val="auto"/>
                <w:kern w:val="2"/>
                <w:sz w:val="16"/>
                <w:szCs w:val="16"/>
                <w:highlight w:val="none"/>
                <w:u w:val="none"/>
                <w:lang w:val="en-US" w:eastAsia="zh-CN" w:bidi="ar"/>
              </w:rPr>
              <w:t>累计盈余资金</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AFFD0">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4,480.37</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637AE">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4,782.48</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DA815">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5,084.58</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38324">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5,347.39</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C23EA">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5,607.35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95990">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5,867.30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15C67">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6,127.25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B521">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6,385.98</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99541">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6,644.70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E5CE0">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6,903.42</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A755C">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7,160.87</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80179">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7,418.31</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C09E0">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7,675.75</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6381E">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3,931.89</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D202A">
            <w:pPr>
              <w:keepNext w:val="0"/>
              <w:keepLines w:val="0"/>
              <w:widowControl/>
              <w:suppressLineNumbers w:val="0"/>
              <w:shd w:val="clear"/>
              <w:spacing w:line="240" w:lineRule="auto"/>
              <w:ind w:firstLine="0" w:firstLineChars="0"/>
              <w:jc w:val="center"/>
              <w:textAlignment w:val="center"/>
              <w:rPr>
                <w:rFonts w:hint="default" w:ascii="仿宋" w:hAnsi="仿宋" w:eastAsia="仿宋" w:cs="仿宋"/>
                <w:i w:val="0"/>
                <w:iCs w:val="0"/>
                <w:color w:val="auto"/>
                <w:kern w:val="2"/>
                <w:sz w:val="16"/>
                <w:szCs w:val="16"/>
                <w:highlight w:val="none"/>
                <w:u w:val="none"/>
                <w:lang w:val="en-US" w:eastAsia="zh-CN" w:bidi="ar"/>
              </w:rPr>
            </w:pPr>
            <w:r>
              <w:rPr>
                <w:rFonts w:hint="default" w:ascii="Times New Roman" w:hAnsi="Times New Roman" w:eastAsia="等线" w:cs="Times New Roman"/>
                <w:i w:val="0"/>
                <w:iCs w:val="0"/>
                <w:color w:val="auto"/>
                <w:kern w:val="0"/>
                <w:sz w:val="14"/>
                <w:szCs w:val="14"/>
                <w:highlight w:val="none"/>
                <w:u w:val="none"/>
                <w:lang w:val="en-US" w:eastAsia="zh-CN" w:bidi="ar"/>
              </w:rPr>
              <w:t>1,272.02</w:t>
            </w:r>
          </w:p>
        </w:tc>
        <w:tc>
          <w:tcPr>
            <w:tcW w:w="3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E63F9">
            <w:pPr>
              <w:keepNext w:val="0"/>
              <w:keepLines w:val="0"/>
              <w:widowControl/>
              <w:suppressLineNumbers w:val="0"/>
              <w:shd w:val="clear"/>
              <w:spacing w:line="240" w:lineRule="auto"/>
              <w:ind w:firstLine="0" w:firstLineChars="0"/>
              <w:jc w:val="center"/>
              <w:textAlignment w:val="auto"/>
              <w:rPr>
                <w:rFonts w:hint="default" w:ascii="仿宋" w:hAnsi="仿宋" w:eastAsia="仿宋" w:cs="仿宋"/>
                <w:i w:val="0"/>
                <w:iCs w:val="0"/>
                <w:color w:val="auto"/>
                <w:kern w:val="2"/>
                <w:sz w:val="16"/>
                <w:szCs w:val="16"/>
                <w:highlight w:val="none"/>
                <w:u w:val="none"/>
                <w:lang w:val="en-US" w:eastAsia="zh-CN" w:bidi="ar"/>
              </w:rPr>
            </w:pPr>
          </w:p>
        </w:tc>
      </w:tr>
    </w:tbl>
    <w:p w14:paraId="432308BD">
      <w:pPr>
        <w:pStyle w:val="20"/>
        <w:shd w:val="clear"/>
        <w:ind w:firstLine="440"/>
        <w:rPr>
          <w:rFonts w:hint="eastAsia" w:eastAsia="宋体"/>
          <w:color w:val="auto"/>
          <w:highlight w:val="none"/>
          <w:lang w:val="en-US" w:eastAsia="zh-CN"/>
        </w:rPr>
      </w:pPr>
      <w:r>
        <w:rPr>
          <w:rFonts w:hint="eastAsia" w:eastAsia="宋体"/>
          <w:color w:val="auto"/>
          <w:highlight w:val="none"/>
          <w:lang w:val="en-US" w:eastAsia="zh-CN"/>
        </w:rPr>
        <w:br w:type="page"/>
      </w:r>
    </w:p>
    <w:p w14:paraId="5E5F57A2">
      <w:pPr>
        <w:pStyle w:val="20"/>
        <w:shd w:val="clear"/>
        <w:ind w:firstLine="440"/>
        <w:rPr>
          <w:rFonts w:hint="eastAsia" w:eastAsia="宋体"/>
          <w:color w:val="auto"/>
          <w:highlight w:val="none"/>
          <w:lang w:val="en-US" w:eastAsia="zh-CN"/>
        </w:rPr>
        <w:sectPr>
          <w:pgSz w:w="16838" w:h="11906" w:orient="landscape"/>
          <w:pgMar w:top="720" w:right="720" w:bottom="720" w:left="720" w:header="709" w:footer="567" w:gutter="0"/>
          <w:cols w:space="425" w:num="1"/>
          <w:docGrid w:type="lines" w:linePitch="326" w:charSpace="0"/>
        </w:sectPr>
      </w:pPr>
    </w:p>
    <w:p w14:paraId="364CEDBE">
      <w:pPr>
        <w:shd w:val="clear"/>
        <w:spacing w:line="560" w:lineRule="exact"/>
        <w:ind w:firstLine="640"/>
        <w:rPr>
          <w:rFonts w:ascii="黑体" w:hAnsi="黑体" w:eastAsia="黑体"/>
          <w:color w:val="auto"/>
          <w:sz w:val="32"/>
          <w:szCs w:val="32"/>
          <w:highlight w:val="none"/>
        </w:rPr>
      </w:pPr>
      <w:r>
        <w:rPr>
          <w:rFonts w:hint="eastAsia" w:ascii="黑体" w:hAnsi="黑体" w:eastAsia="黑体"/>
          <w:color w:val="auto"/>
          <w:sz w:val="32"/>
          <w:szCs w:val="32"/>
          <w:highlight w:val="none"/>
        </w:rPr>
        <w:t>五、项目绩效目标</w:t>
      </w:r>
    </w:p>
    <w:p w14:paraId="7953567A">
      <w:pPr>
        <w:shd w:val="clear"/>
        <w:spacing w:before="157" w:beforeLines="50" w:after="157" w:afterLines="50" w:line="360" w:lineRule="auto"/>
        <w:ind w:firstLine="643"/>
        <w:outlineLvl w:val="1"/>
        <w:rPr>
          <w:rFonts w:hint="default" w:ascii="楷体_GB2312" w:hAnsi="Calibri" w:eastAsia="楷体_GB2312"/>
          <w:b/>
          <w:color w:val="auto"/>
          <w:sz w:val="32"/>
          <w:szCs w:val="32"/>
          <w:highlight w:val="none"/>
          <w:lang w:val="en-US" w:eastAsia="zh-Hans"/>
        </w:rPr>
      </w:pPr>
      <w:r>
        <w:rPr>
          <w:rFonts w:hint="eastAsia" w:ascii="楷体_GB2312" w:hAnsi="Calibri" w:eastAsia="楷体_GB2312"/>
          <w:b/>
          <w:color w:val="auto"/>
          <w:sz w:val="32"/>
          <w:szCs w:val="32"/>
          <w:highlight w:val="none"/>
        </w:rPr>
        <w:t>（一）</w:t>
      </w:r>
      <w:r>
        <w:rPr>
          <w:rFonts w:hint="eastAsia" w:ascii="楷体_GB2312" w:hAnsi="Calibri" w:eastAsia="楷体_GB2312"/>
          <w:b/>
          <w:color w:val="auto"/>
          <w:sz w:val="32"/>
          <w:szCs w:val="32"/>
          <w:highlight w:val="none"/>
          <w:lang w:val="en-US" w:eastAsia="zh-Hans"/>
        </w:rPr>
        <w:t>产出目标</w:t>
      </w:r>
    </w:p>
    <w:p w14:paraId="6A644AD0">
      <w:pPr>
        <w:pageBreakBefore w:val="0"/>
        <w:shd w:val="clear"/>
        <w:kinsoku/>
        <w:wordWrap/>
        <w:overflowPunct/>
        <w:topLinePunct w:val="0"/>
        <w:autoSpaceDE/>
        <w:autoSpaceDN/>
        <w:bidi w:val="0"/>
        <w:adjustRightInd w:val="0"/>
        <w:snapToGrid w:val="0"/>
        <w:spacing w:line="360" w:lineRule="auto"/>
        <w:ind w:firstLine="480" w:firstLineChars="200"/>
        <w:rPr>
          <w:rFonts w:hint="eastAsia"/>
          <w:bCs/>
          <w:color w:val="auto"/>
          <w:highlight w:val="none"/>
          <w:lang w:val="en-US" w:eastAsia="zh-CN"/>
        </w:rPr>
      </w:pPr>
      <w:r>
        <w:rPr>
          <w:rFonts w:hint="eastAsia"/>
          <w:bCs/>
          <w:color w:val="auto"/>
          <w:highlight w:val="none"/>
          <w:lang w:val="en-US" w:eastAsia="zh-CN"/>
        </w:rPr>
        <w:t>数量目标：覆盖高桥街道及胜利街道桑园社区、前进社区、生产社区等17个社区，5837户居民的日常用水需求，实现日供水量6500立方米。</w:t>
      </w:r>
    </w:p>
    <w:p w14:paraId="0E705E42">
      <w:pPr>
        <w:pageBreakBefore w:val="0"/>
        <w:shd w:val="clear"/>
        <w:kinsoku/>
        <w:wordWrap/>
        <w:overflowPunct/>
        <w:topLinePunct w:val="0"/>
        <w:autoSpaceDE/>
        <w:autoSpaceDN/>
        <w:bidi w:val="0"/>
        <w:adjustRightInd w:val="0"/>
        <w:snapToGrid w:val="0"/>
        <w:spacing w:line="360" w:lineRule="auto"/>
        <w:ind w:firstLine="480" w:firstLineChars="200"/>
        <w:rPr>
          <w:rFonts w:hint="eastAsia"/>
          <w:bCs/>
          <w:color w:val="auto"/>
          <w:highlight w:val="none"/>
          <w:lang w:val="en-US" w:eastAsia="zh-CN"/>
        </w:rPr>
      </w:pPr>
      <w:r>
        <w:rPr>
          <w:rFonts w:hint="eastAsia"/>
          <w:bCs/>
          <w:color w:val="auto"/>
          <w:highlight w:val="none"/>
          <w:lang w:val="en-US" w:eastAsia="zh-CN"/>
        </w:rPr>
        <w:t>①供水管网改造193060米及高桥镇4732户用户接收改造，同步配套老旧管网维护设备维护工程，全面解决老旧管网输水隐患。</w:t>
      </w:r>
    </w:p>
    <w:p w14:paraId="42953ECA">
      <w:pPr>
        <w:numPr>
          <w:ilvl w:val="0"/>
          <w:numId w:val="0"/>
        </w:numPr>
        <w:shd w:val="clear"/>
        <w:ind w:left="0" w:leftChars="0" w:firstLine="480" w:firstLineChars="200"/>
        <w:rPr>
          <w:rFonts w:hint="eastAsia"/>
          <w:bCs/>
          <w:color w:val="auto"/>
          <w:highlight w:val="none"/>
          <w:lang w:val="en-US" w:eastAsia="zh-CN"/>
        </w:rPr>
      </w:pPr>
      <w:r>
        <w:rPr>
          <w:rFonts w:hint="eastAsia"/>
          <w:bCs/>
          <w:color w:val="auto"/>
          <w:highlight w:val="none"/>
          <w:lang w:val="en-US" w:eastAsia="zh-CN"/>
        </w:rPr>
        <w:t>②更换400个智能水表，安装200个智能闸阀，实现用水计量与管网调控智能化；</w:t>
      </w:r>
    </w:p>
    <w:p w14:paraId="32CF099A">
      <w:pPr>
        <w:numPr>
          <w:ilvl w:val="0"/>
          <w:numId w:val="0"/>
        </w:numPr>
        <w:shd w:val="clear"/>
        <w:ind w:left="0" w:leftChars="0" w:firstLine="480" w:firstLineChars="200"/>
        <w:rPr>
          <w:rFonts w:hint="eastAsia"/>
          <w:b w:val="0"/>
          <w:bCs w:val="0"/>
          <w:color w:val="auto"/>
          <w:highlight w:val="none"/>
        </w:rPr>
      </w:pPr>
      <w:r>
        <w:rPr>
          <w:rFonts w:hint="eastAsia"/>
          <w:b w:val="0"/>
          <w:bCs w:val="0"/>
          <w:color w:val="auto"/>
          <w:highlight w:val="none"/>
          <w:lang w:val="en-US" w:eastAsia="zh-CN"/>
        </w:rPr>
        <w:t>③</w:t>
      </w:r>
      <w:r>
        <w:rPr>
          <w:rFonts w:hint="eastAsia"/>
          <w:b w:val="0"/>
          <w:bCs w:val="0"/>
          <w:color w:val="auto"/>
          <w:highlight w:val="none"/>
        </w:rPr>
        <w:t>搭建1项智能水务系统，部署2套智能增压加氯设备，以提升供水效率与水质保障能力；</w:t>
      </w:r>
    </w:p>
    <w:p w14:paraId="6BE4B75D">
      <w:pPr>
        <w:numPr>
          <w:ilvl w:val="0"/>
          <w:numId w:val="0"/>
        </w:numPr>
        <w:shd w:val="clear"/>
        <w:ind w:left="0" w:leftChars="0" w:firstLine="480" w:firstLineChars="200"/>
        <w:rPr>
          <w:rFonts w:hint="eastAsia"/>
          <w:b w:val="0"/>
          <w:bCs w:val="0"/>
          <w:color w:val="auto"/>
          <w:highlight w:val="none"/>
        </w:rPr>
      </w:pPr>
      <w:r>
        <w:rPr>
          <w:rFonts w:hint="eastAsia"/>
          <w:b w:val="0"/>
          <w:bCs w:val="0"/>
          <w:color w:val="auto"/>
          <w:highlight w:val="none"/>
          <w:lang w:val="en-US" w:eastAsia="zh-CN"/>
        </w:rPr>
        <w:t>④</w:t>
      </w:r>
      <w:r>
        <w:rPr>
          <w:rFonts w:hint="eastAsia"/>
          <w:b w:val="0"/>
          <w:bCs w:val="0"/>
          <w:color w:val="auto"/>
          <w:highlight w:val="none"/>
        </w:rPr>
        <w:t>安装2套水厂区域远程监控及警示系统，强化厂区安全管理；</w:t>
      </w:r>
    </w:p>
    <w:p w14:paraId="241E16FB">
      <w:pPr>
        <w:pageBreakBefore w:val="0"/>
        <w:shd w:val="clear"/>
        <w:kinsoku/>
        <w:wordWrap/>
        <w:overflowPunct/>
        <w:topLinePunct w:val="0"/>
        <w:autoSpaceDE/>
        <w:autoSpaceDN/>
        <w:bidi w:val="0"/>
        <w:adjustRightInd w:val="0"/>
        <w:snapToGrid w:val="0"/>
        <w:spacing w:line="360" w:lineRule="auto"/>
        <w:ind w:firstLine="480" w:firstLineChars="200"/>
        <w:rPr>
          <w:rFonts w:hint="eastAsia"/>
          <w:bCs/>
          <w:color w:val="auto"/>
          <w:highlight w:val="none"/>
          <w:lang w:val="en-US" w:eastAsia="zh-CN"/>
        </w:rPr>
      </w:pPr>
    </w:p>
    <w:p w14:paraId="5F242E5C">
      <w:pPr>
        <w:pageBreakBefore w:val="0"/>
        <w:shd w:val="clear"/>
        <w:kinsoku/>
        <w:wordWrap/>
        <w:overflowPunct/>
        <w:topLinePunct w:val="0"/>
        <w:autoSpaceDE/>
        <w:autoSpaceDN/>
        <w:bidi w:val="0"/>
        <w:adjustRightInd w:val="0"/>
        <w:snapToGrid w:val="0"/>
        <w:spacing w:line="360" w:lineRule="auto"/>
        <w:ind w:firstLine="480" w:firstLineChars="200"/>
        <w:rPr>
          <w:rFonts w:hint="default"/>
          <w:bCs/>
          <w:color w:val="auto"/>
          <w:highlight w:val="none"/>
          <w:lang w:val="en-US" w:eastAsia="zh-CN"/>
        </w:rPr>
      </w:pPr>
      <w:r>
        <w:rPr>
          <w:rFonts w:hint="eastAsia"/>
          <w:bCs/>
          <w:color w:val="auto"/>
          <w:highlight w:val="none"/>
          <w:lang w:val="en-US" w:eastAsia="zh-CN"/>
        </w:rPr>
        <w:t>质量目标：符合验收标准，达到行业基准水平。</w:t>
      </w:r>
    </w:p>
    <w:p w14:paraId="6E5843CE">
      <w:pPr>
        <w:pageBreakBefore w:val="0"/>
        <w:shd w:val="clear"/>
        <w:kinsoku/>
        <w:wordWrap/>
        <w:overflowPunct/>
        <w:topLinePunct w:val="0"/>
        <w:autoSpaceDE/>
        <w:autoSpaceDN/>
        <w:bidi w:val="0"/>
        <w:adjustRightInd w:val="0"/>
        <w:snapToGrid w:val="0"/>
        <w:spacing w:line="360" w:lineRule="auto"/>
        <w:ind w:firstLine="480" w:firstLineChars="200"/>
        <w:rPr>
          <w:rFonts w:hint="default"/>
          <w:bCs/>
          <w:color w:val="auto"/>
          <w:highlight w:val="none"/>
          <w:lang w:val="en-US" w:eastAsia="zh-CN"/>
        </w:rPr>
      </w:pPr>
      <w:r>
        <w:rPr>
          <w:rFonts w:hint="eastAsia"/>
          <w:bCs/>
          <w:color w:val="auto"/>
          <w:highlight w:val="none"/>
          <w:lang w:val="en-US" w:eastAsia="zh-CN"/>
        </w:rPr>
        <w:t>时效目标：本项目建设期跨度2年，严格执行工程建设程序，合理有序的安排项目建设进度。</w:t>
      </w:r>
    </w:p>
    <w:p w14:paraId="6B5AEF6F">
      <w:pPr>
        <w:pageBreakBefore w:val="0"/>
        <w:shd w:val="clear"/>
        <w:kinsoku/>
        <w:wordWrap/>
        <w:overflowPunct/>
        <w:topLinePunct w:val="0"/>
        <w:autoSpaceDE/>
        <w:autoSpaceDN/>
        <w:bidi w:val="0"/>
        <w:adjustRightInd w:val="0"/>
        <w:snapToGrid w:val="0"/>
        <w:spacing w:line="360" w:lineRule="auto"/>
        <w:ind w:firstLine="480" w:firstLineChars="200"/>
        <w:rPr>
          <w:rFonts w:hint="default"/>
          <w:bCs/>
          <w:color w:val="auto"/>
          <w:highlight w:val="none"/>
          <w:lang w:val="en-US" w:eastAsia="zh-CN"/>
        </w:rPr>
      </w:pPr>
      <w:r>
        <w:rPr>
          <w:rFonts w:hint="eastAsia"/>
          <w:bCs/>
          <w:color w:val="auto"/>
          <w:highlight w:val="none"/>
          <w:lang w:val="en-US" w:eastAsia="zh-CN"/>
        </w:rPr>
        <w:t>成本目标：项目总投资</w:t>
      </w:r>
      <w:r>
        <w:rPr>
          <w:rFonts w:hint="eastAsia" w:ascii="仿宋_GB2312" w:cs="仿宋"/>
          <w:color w:val="auto"/>
          <w:highlight w:val="none"/>
          <w:lang w:val="en-US" w:eastAsia="zh-CN"/>
        </w:rPr>
        <w:t>10311.00</w:t>
      </w:r>
      <w:r>
        <w:rPr>
          <w:rFonts w:hint="eastAsia"/>
          <w:bCs/>
          <w:color w:val="auto"/>
          <w:highlight w:val="none"/>
          <w:lang w:val="en-US" w:eastAsia="zh-CN"/>
        </w:rPr>
        <w:t>万元。</w:t>
      </w:r>
    </w:p>
    <w:p w14:paraId="7BAC04CB">
      <w:pPr>
        <w:pageBreakBefore w:val="0"/>
        <w:shd w:val="clear"/>
        <w:kinsoku/>
        <w:wordWrap/>
        <w:overflowPunct/>
        <w:topLinePunct w:val="0"/>
        <w:autoSpaceDE/>
        <w:autoSpaceDN/>
        <w:bidi w:val="0"/>
        <w:adjustRightInd w:val="0"/>
        <w:snapToGrid w:val="0"/>
        <w:spacing w:before="10" w:after="217" w:afterLines="50" w:line="360" w:lineRule="auto"/>
        <w:ind w:firstLine="643" w:firstLineChars="200"/>
        <w:outlineLvl w:val="1"/>
        <w:rPr>
          <w:rFonts w:hint="default" w:eastAsia="楷体_GB2312"/>
          <w:color w:val="auto"/>
          <w:kern w:val="0"/>
          <w:highlight w:val="none"/>
          <w:lang w:val="en-US" w:eastAsia="zh-CN"/>
        </w:rPr>
      </w:pPr>
      <w:r>
        <w:rPr>
          <w:rFonts w:hint="eastAsia" w:ascii="楷体_GB2312" w:eastAsia="楷体_GB2312"/>
          <w:b/>
          <w:color w:val="auto"/>
          <w:sz w:val="32"/>
          <w:szCs w:val="32"/>
          <w:highlight w:val="none"/>
        </w:rPr>
        <w:t>（</w:t>
      </w:r>
      <w:r>
        <w:rPr>
          <w:rFonts w:hint="eastAsia" w:ascii="楷体_GB2312" w:eastAsia="楷体_GB2312"/>
          <w:b/>
          <w:color w:val="auto"/>
          <w:sz w:val="32"/>
          <w:szCs w:val="32"/>
          <w:highlight w:val="none"/>
          <w:lang w:val="en-US" w:eastAsia="zh-CN"/>
        </w:rPr>
        <w:t>二</w:t>
      </w:r>
      <w:r>
        <w:rPr>
          <w:rFonts w:hint="eastAsia" w:ascii="楷体_GB2312" w:eastAsia="楷体_GB2312"/>
          <w:b/>
          <w:color w:val="auto"/>
          <w:sz w:val="32"/>
          <w:szCs w:val="32"/>
          <w:highlight w:val="none"/>
        </w:rPr>
        <w:t>）</w:t>
      </w:r>
      <w:r>
        <w:rPr>
          <w:rFonts w:hint="eastAsia" w:ascii="楷体_GB2312" w:eastAsia="楷体_GB2312"/>
          <w:b/>
          <w:color w:val="auto"/>
          <w:sz w:val="32"/>
          <w:szCs w:val="32"/>
          <w:highlight w:val="none"/>
          <w:lang w:val="en-US" w:eastAsia="zh-CN"/>
        </w:rPr>
        <w:t>效益目标</w:t>
      </w:r>
    </w:p>
    <w:p w14:paraId="6DFDD1A3">
      <w:pPr>
        <w:pageBreakBefore w:val="0"/>
        <w:shd w:val="clear"/>
        <w:kinsoku/>
        <w:wordWrap/>
        <w:overflowPunct/>
        <w:topLinePunct w:val="0"/>
        <w:autoSpaceDE/>
        <w:autoSpaceDN/>
        <w:bidi w:val="0"/>
        <w:adjustRightInd w:val="0"/>
        <w:snapToGrid w:val="0"/>
        <w:spacing w:line="360" w:lineRule="auto"/>
        <w:ind w:firstLine="480" w:firstLineChars="200"/>
        <w:rPr>
          <w:rFonts w:hint="eastAsia"/>
          <w:bCs/>
          <w:color w:val="auto"/>
          <w:highlight w:val="none"/>
        </w:rPr>
      </w:pPr>
      <w:r>
        <w:rPr>
          <w:rFonts w:hint="eastAsia"/>
          <w:color w:val="auto"/>
          <w:kern w:val="0"/>
          <w:highlight w:val="none"/>
          <w:lang w:val="en-US" w:eastAsia="zh-CN"/>
        </w:rPr>
        <w:t>经济效益目标：</w:t>
      </w:r>
      <w:r>
        <w:rPr>
          <w:rFonts w:hint="eastAsia"/>
          <w:color w:val="auto"/>
          <w:highlight w:val="none"/>
          <w:lang w:val="en-US" w:eastAsia="zh-CN"/>
        </w:rPr>
        <w:t>内江市高桥水厂城乡供水智慧水务提升改造建设项目</w:t>
      </w:r>
      <w:r>
        <w:rPr>
          <w:rFonts w:hint="eastAsia"/>
          <w:color w:val="auto"/>
          <w:highlight w:val="none"/>
        </w:rPr>
        <w:t>收入来源主要为项目建成后居民生活用水收入、开户及安装智能水表收入，本项目收入为纳入政府性基金预算管理的专项收入，待本项目全部</w:t>
      </w:r>
      <w:r>
        <w:rPr>
          <w:rFonts w:hint="eastAsia"/>
          <w:color w:val="auto"/>
          <w:highlight w:val="none"/>
          <w:lang w:val="en-US" w:eastAsia="zh-CN"/>
        </w:rPr>
        <w:t>7</w:t>
      </w:r>
      <w:r>
        <w:rPr>
          <w:color w:val="auto"/>
          <w:highlight w:val="none"/>
        </w:rPr>
        <w:t>000</w:t>
      </w:r>
      <w:r>
        <w:rPr>
          <w:rFonts w:hint="eastAsia"/>
          <w:color w:val="auto"/>
          <w:highlight w:val="none"/>
        </w:rPr>
        <w:t>.00万元专项债到期时，在偿还到期的融资本息后</w:t>
      </w:r>
      <w:r>
        <w:rPr>
          <w:rFonts w:hint="eastAsia" w:cs="仿宋"/>
          <w:color w:val="auto"/>
          <w:highlight w:val="none"/>
        </w:rPr>
        <w:t>，将有</w:t>
      </w:r>
      <w:r>
        <w:rPr>
          <w:rFonts w:hint="eastAsia"/>
          <w:color w:val="auto"/>
          <w:highlight w:val="none"/>
          <w:lang w:eastAsia="zh-CN"/>
        </w:rPr>
        <w:t>1272.02</w:t>
      </w:r>
      <w:r>
        <w:rPr>
          <w:rFonts w:hint="eastAsia" w:cs="仿宋"/>
          <w:color w:val="auto"/>
          <w:highlight w:val="none"/>
        </w:rPr>
        <w:t>万元的累计现金结余</w:t>
      </w:r>
      <w:r>
        <w:rPr>
          <w:rFonts w:hint="eastAsia" w:cs="仿宋"/>
          <w:color w:val="auto"/>
          <w:highlight w:val="none"/>
          <w:lang w:eastAsia="zh-Hans"/>
        </w:rPr>
        <w:t>，</w:t>
      </w:r>
      <w:r>
        <w:rPr>
          <w:rFonts w:hint="eastAsia" w:cs="仿宋"/>
          <w:color w:val="auto"/>
          <w:highlight w:val="none"/>
        </w:rPr>
        <w:t>能够实现项目收益和融资自求平衡</w:t>
      </w:r>
      <w:r>
        <w:rPr>
          <w:rFonts w:hint="eastAsia"/>
          <w:color w:val="auto"/>
          <w:highlight w:val="none"/>
        </w:rPr>
        <w:t>，</w:t>
      </w:r>
      <w:r>
        <w:rPr>
          <w:bCs/>
          <w:color w:val="auto"/>
          <w:kern w:val="0"/>
          <w:highlight w:val="none"/>
        </w:rPr>
        <w:t>其中：项目债券本息覆盖倍数为1.</w:t>
      </w:r>
      <w:r>
        <w:rPr>
          <w:rFonts w:hint="eastAsia"/>
          <w:bCs/>
          <w:color w:val="auto"/>
          <w:kern w:val="0"/>
          <w:highlight w:val="none"/>
          <w:lang w:val="en-US" w:eastAsia="zh-CN"/>
        </w:rPr>
        <w:t>07</w:t>
      </w:r>
      <w:r>
        <w:rPr>
          <w:bCs/>
          <w:color w:val="auto"/>
          <w:kern w:val="0"/>
          <w:highlight w:val="none"/>
        </w:rPr>
        <w:t>倍</w:t>
      </w:r>
      <w:r>
        <w:rPr>
          <w:rFonts w:hint="eastAsia"/>
          <w:bCs/>
          <w:color w:val="auto"/>
          <w:highlight w:val="none"/>
        </w:rPr>
        <w:t>。</w:t>
      </w:r>
    </w:p>
    <w:p w14:paraId="06782633">
      <w:pPr>
        <w:pageBreakBefore w:val="0"/>
        <w:shd w:val="clear"/>
        <w:kinsoku/>
        <w:wordWrap/>
        <w:overflowPunct/>
        <w:topLinePunct w:val="0"/>
        <w:autoSpaceDE/>
        <w:autoSpaceDN/>
        <w:bidi w:val="0"/>
        <w:adjustRightInd w:val="0"/>
        <w:snapToGrid w:val="0"/>
        <w:spacing w:line="360" w:lineRule="auto"/>
        <w:ind w:firstLine="480" w:firstLineChars="200"/>
        <w:rPr>
          <w:rFonts w:hint="eastAsia"/>
          <w:bCs/>
          <w:color w:val="auto"/>
          <w:highlight w:val="none"/>
          <w:lang w:val="en-US" w:eastAsia="zh-CN"/>
        </w:rPr>
      </w:pPr>
      <w:r>
        <w:rPr>
          <w:rFonts w:hint="eastAsia"/>
          <w:bCs/>
          <w:color w:val="auto"/>
          <w:highlight w:val="none"/>
          <w:lang w:val="en-US" w:eastAsia="zh-CN"/>
        </w:rPr>
        <w:t>社会效益目标：项目建成后可满足片区未来新增人口、公共设施的用水需求；同时，统一的引水标准也能让片区内不同地区享受同等质量的引水服务，推动城乡公共服务均等化。</w:t>
      </w:r>
    </w:p>
    <w:p w14:paraId="24E6677A">
      <w:pPr>
        <w:shd w:val="clear"/>
        <w:rPr>
          <w:rFonts w:hint="eastAsia"/>
          <w:color w:val="auto"/>
          <w:highlight w:val="none"/>
        </w:rPr>
      </w:pPr>
      <w:r>
        <w:rPr>
          <w:rFonts w:hint="eastAsia"/>
          <w:bCs/>
          <w:color w:val="auto"/>
          <w:highlight w:val="none"/>
          <w:lang w:val="en-US" w:eastAsia="zh-CN"/>
        </w:rPr>
        <w:t>可持续影响目标：</w:t>
      </w:r>
      <w:r>
        <w:rPr>
          <w:rFonts w:hint="eastAsia"/>
          <w:color w:val="auto"/>
          <w:highlight w:val="none"/>
        </w:rPr>
        <w:t>及时解决</w:t>
      </w:r>
      <w:r>
        <w:rPr>
          <w:rFonts w:hint="eastAsia"/>
          <w:color w:val="auto"/>
          <w:highlight w:val="none"/>
          <w:lang w:val="en-US" w:eastAsia="zh-CN"/>
        </w:rPr>
        <w:t>居民</w:t>
      </w:r>
      <w:r>
        <w:rPr>
          <w:rFonts w:hint="eastAsia"/>
          <w:color w:val="auto"/>
          <w:highlight w:val="none"/>
        </w:rPr>
        <w:t>遇到的水管漏水、用水异常等问题，避免因问题拖延导致的财产损失，间接降低</w:t>
      </w:r>
      <w:r>
        <w:rPr>
          <w:rFonts w:hint="eastAsia"/>
          <w:color w:val="auto"/>
          <w:highlight w:val="none"/>
          <w:lang w:val="en-US" w:eastAsia="zh-CN"/>
        </w:rPr>
        <w:t>居民</w:t>
      </w:r>
      <w:r>
        <w:rPr>
          <w:rFonts w:hint="eastAsia"/>
          <w:color w:val="auto"/>
          <w:highlight w:val="none"/>
        </w:rPr>
        <w:t>生活与生产中的额外负担。</w:t>
      </w:r>
    </w:p>
    <w:p w14:paraId="619F09D6">
      <w:pPr>
        <w:pageBreakBefore w:val="0"/>
        <w:shd w:val="clear"/>
        <w:kinsoku/>
        <w:wordWrap/>
        <w:overflowPunct/>
        <w:topLinePunct w:val="0"/>
        <w:autoSpaceDE/>
        <w:autoSpaceDN/>
        <w:bidi w:val="0"/>
        <w:adjustRightInd w:val="0"/>
        <w:snapToGrid w:val="0"/>
        <w:spacing w:line="360" w:lineRule="auto"/>
        <w:ind w:firstLine="0" w:firstLineChars="0"/>
        <w:rPr>
          <w:rFonts w:hint="eastAsia" w:eastAsia="仿宋"/>
          <w:color w:val="auto"/>
          <w:highlight w:val="none"/>
          <w:lang w:eastAsia="zh-CN"/>
        </w:rPr>
      </w:pPr>
    </w:p>
    <w:p w14:paraId="3CA945F0">
      <w:pPr>
        <w:shd w:val="clear"/>
        <w:spacing w:before="10" w:after="217" w:afterLines="50" w:line="360" w:lineRule="auto"/>
        <w:ind w:firstLine="643" w:firstLineChars="200"/>
        <w:outlineLvl w:val="1"/>
        <w:rPr>
          <w:rFonts w:hint="eastAsia"/>
          <w:color w:val="auto"/>
          <w:highlight w:val="none"/>
          <w:lang w:val="en-US" w:eastAsia="zh-CN"/>
        </w:rPr>
      </w:pPr>
      <w:r>
        <w:rPr>
          <w:rFonts w:hint="eastAsia" w:ascii="楷体_GB2312" w:eastAsia="楷体_GB2312"/>
          <w:b/>
          <w:color w:val="auto"/>
          <w:sz w:val="32"/>
          <w:szCs w:val="32"/>
          <w:highlight w:val="none"/>
        </w:rPr>
        <w:t>（</w:t>
      </w:r>
      <w:r>
        <w:rPr>
          <w:rFonts w:hint="eastAsia" w:ascii="楷体_GB2312" w:eastAsia="楷体_GB2312"/>
          <w:b/>
          <w:color w:val="auto"/>
          <w:sz w:val="32"/>
          <w:szCs w:val="32"/>
          <w:highlight w:val="none"/>
          <w:lang w:val="en-US" w:eastAsia="zh-Hans"/>
        </w:rPr>
        <w:t>三</w:t>
      </w:r>
      <w:r>
        <w:rPr>
          <w:rFonts w:hint="eastAsia" w:ascii="楷体_GB2312" w:eastAsia="楷体_GB2312"/>
          <w:b/>
          <w:color w:val="auto"/>
          <w:sz w:val="32"/>
          <w:szCs w:val="32"/>
          <w:highlight w:val="none"/>
        </w:rPr>
        <w:t>）</w:t>
      </w:r>
      <w:r>
        <w:rPr>
          <w:rFonts w:hint="eastAsia" w:ascii="楷体_GB2312" w:eastAsia="楷体_GB2312"/>
          <w:b/>
          <w:color w:val="auto"/>
          <w:sz w:val="32"/>
          <w:szCs w:val="32"/>
          <w:highlight w:val="none"/>
          <w:lang w:val="en-US" w:eastAsia="zh-Hans"/>
        </w:rPr>
        <w:t>满意度</w:t>
      </w:r>
      <w:r>
        <w:rPr>
          <w:rFonts w:hint="eastAsia" w:ascii="楷体_GB2312" w:eastAsia="楷体_GB2312"/>
          <w:b/>
          <w:color w:val="auto"/>
          <w:sz w:val="32"/>
          <w:szCs w:val="32"/>
          <w:highlight w:val="none"/>
          <w:lang w:val="en-US" w:eastAsia="zh-CN"/>
        </w:rPr>
        <w:t>目标</w:t>
      </w:r>
    </w:p>
    <w:p w14:paraId="4FBDD7ED">
      <w:pPr>
        <w:pageBreakBefore w:val="0"/>
        <w:shd w:val="clear"/>
        <w:kinsoku/>
        <w:wordWrap/>
        <w:overflowPunct/>
        <w:topLinePunct w:val="0"/>
        <w:autoSpaceDE/>
        <w:autoSpaceDN/>
        <w:bidi w:val="0"/>
        <w:adjustRightInd w:val="0"/>
        <w:snapToGrid w:val="0"/>
        <w:spacing w:after="0" w:line="360" w:lineRule="auto"/>
        <w:ind w:firstLine="480" w:firstLineChars="200"/>
        <w:rPr>
          <w:rFonts w:hint="eastAsia" w:ascii="仿宋" w:hAnsi="仿宋"/>
          <w:bCs/>
          <w:color w:val="auto"/>
          <w:highlight w:val="none"/>
          <w:lang w:val="en-US" w:eastAsia="zh-CN"/>
        </w:rPr>
      </w:pPr>
      <w:r>
        <w:rPr>
          <w:rFonts w:hint="eastAsia" w:ascii="仿宋" w:hAnsi="仿宋"/>
          <w:bCs/>
          <w:color w:val="auto"/>
          <w:highlight w:val="none"/>
          <w:lang w:val="en-US" w:eastAsia="zh-CN"/>
        </w:rPr>
        <w:t>服务对象满意度目标：通过问卷调查等手段，获取满意度达到“良好/满意/80分”及以上。</w:t>
      </w:r>
    </w:p>
    <w:p w14:paraId="3677860A">
      <w:pPr>
        <w:shd w:val="clear"/>
        <w:spacing w:line="560" w:lineRule="exact"/>
        <w:ind w:firstLine="640"/>
        <w:rPr>
          <w:rFonts w:hint="eastAsia" w:ascii="黑体" w:hAnsi="黑体" w:eastAsia="黑体"/>
          <w:color w:val="auto"/>
          <w:sz w:val="32"/>
          <w:szCs w:val="32"/>
          <w:highlight w:val="none"/>
        </w:rPr>
      </w:pPr>
    </w:p>
    <w:p w14:paraId="0701AF01">
      <w:pPr>
        <w:shd w:val="clear"/>
        <w:spacing w:line="560" w:lineRule="exact"/>
        <w:ind w:firstLine="640"/>
        <w:rPr>
          <w:rFonts w:ascii="黑体" w:hAnsi="黑体" w:eastAsia="黑体"/>
          <w:color w:val="auto"/>
          <w:sz w:val="32"/>
          <w:szCs w:val="32"/>
          <w:highlight w:val="none"/>
        </w:rPr>
      </w:pPr>
      <w:r>
        <w:rPr>
          <w:rFonts w:hint="eastAsia" w:ascii="黑体" w:hAnsi="黑体" w:eastAsia="黑体"/>
          <w:color w:val="auto"/>
          <w:sz w:val="32"/>
          <w:szCs w:val="32"/>
          <w:highlight w:val="none"/>
        </w:rPr>
        <w:t>六、潜在影响项目的风险评估</w:t>
      </w:r>
    </w:p>
    <w:p w14:paraId="6CF4D8F3">
      <w:pPr>
        <w:shd w:val="clear"/>
        <w:spacing w:line="560" w:lineRule="exact"/>
        <w:ind w:firstLine="643"/>
        <w:rPr>
          <w:rFonts w:ascii="楷体_GB2312" w:hAnsi="Calibri" w:eastAsia="楷体_GB2312"/>
          <w:b/>
          <w:color w:val="auto"/>
          <w:sz w:val="32"/>
          <w:szCs w:val="32"/>
          <w:highlight w:val="none"/>
        </w:rPr>
      </w:pPr>
      <w:r>
        <w:rPr>
          <w:rFonts w:hint="eastAsia" w:ascii="楷体_GB2312" w:hAnsi="Calibri" w:eastAsia="楷体_GB2312"/>
          <w:b/>
          <w:color w:val="auto"/>
          <w:sz w:val="32"/>
          <w:szCs w:val="32"/>
          <w:highlight w:val="none"/>
        </w:rPr>
        <w:t>（一）影响项目施工进度或正常运营的风险及控制措施</w:t>
      </w:r>
    </w:p>
    <w:p w14:paraId="775DFA1C">
      <w:pPr>
        <w:shd w:val="clear"/>
        <w:ind w:firstLine="480"/>
        <w:rPr>
          <w:color w:val="auto"/>
          <w:highlight w:val="none"/>
        </w:rPr>
      </w:pPr>
      <w:r>
        <w:rPr>
          <w:rFonts w:hint="eastAsia"/>
          <w:color w:val="auto"/>
          <w:highlight w:val="none"/>
        </w:rPr>
        <w:t>对于不可抗力风险、施工方的风险、设计单位的风险、供应商的风险、资金落实风险、工程事故风险等影响施工进度或正常运营的风险，项目相关机构将采取对地块所处自然环境进行充分论证；选取有相应资质、业绩良好、经验丰富的施工单位；对供应商的资质、商业信誉和财务会计制度进行严格审查；做好现场的安全管理工作等措施予以控制。</w:t>
      </w:r>
    </w:p>
    <w:p w14:paraId="29999FFD">
      <w:pPr>
        <w:shd w:val="clear"/>
        <w:spacing w:line="560" w:lineRule="exact"/>
        <w:ind w:firstLine="643"/>
        <w:rPr>
          <w:rFonts w:ascii="楷体_GB2312" w:hAnsi="Calibri" w:eastAsia="楷体_GB2312"/>
          <w:b/>
          <w:color w:val="auto"/>
          <w:sz w:val="32"/>
          <w:szCs w:val="32"/>
          <w:highlight w:val="none"/>
        </w:rPr>
      </w:pPr>
      <w:r>
        <w:rPr>
          <w:rFonts w:hint="eastAsia" w:ascii="楷体_GB2312" w:hAnsi="Calibri" w:eastAsia="楷体_GB2312"/>
          <w:b/>
          <w:color w:val="auto"/>
          <w:sz w:val="32"/>
          <w:szCs w:val="32"/>
          <w:highlight w:val="none"/>
        </w:rPr>
        <w:t>（二）影响项目收益的风险及控制措施</w:t>
      </w:r>
    </w:p>
    <w:p w14:paraId="60ADBC92">
      <w:pPr>
        <w:shd w:val="clear"/>
        <w:ind w:firstLine="480"/>
        <w:rPr>
          <w:color w:val="auto"/>
          <w:highlight w:val="none"/>
        </w:rPr>
      </w:pPr>
      <w:r>
        <w:rPr>
          <w:rFonts w:hint="eastAsia"/>
          <w:color w:val="auto"/>
          <w:highlight w:val="none"/>
        </w:rPr>
        <w:t>对于经营风险、财务风险等影响项目收益的风险，项目相关机构将全面分析国家项目相关的政策、法律、制度的发展变化；设立项目资金管理专户等措施予以控制。</w:t>
      </w:r>
    </w:p>
    <w:p w14:paraId="5242E523">
      <w:pPr>
        <w:shd w:val="clear"/>
        <w:spacing w:line="560" w:lineRule="exact"/>
        <w:ind w:firstLine="643"/>
        <w:rPr>
          <w:rFonts w:ascii="楷体_GB2312" w:hAnsi="Calibri" w:eastAsia="楷体_GB2312"/>
          <w:b/>
          <w:color w:val="auto"/>
          <w:sz w:val="32"/>
          <w:szCs w:val="32"/>
          <w:highlight w:val="none"/>
        </w:rPr>
      </w:pPr>
      <w:r>
        <w:rPr>
          <w:rFonts w:hint="eastAsia" w:ascii="楷体_GB2312" w:hAnsi="Calibri" w:eastAsia="楷体_GB2312"/>
          <w:b/>
          <w:color w:val="auto"/>
          <w:sz w:val="32"/>
          <w:szCs w:val="32"/>
          <w:highlight w:val="none"/>
        </w:rPr>
        <w:t>（三）影响融资平衡结果的风险及控制措施</w:t>
      </w:r>
    </w:p>
    <w:p w14:paraId="335F2E04">
      <w:pPr>
        <w:shd w:val="clear"/>
        <w:ind w:firstLine="480"/>
        <w:rPr>
          <w:rFonts w:hint="eastAsia"/>
          <w:color w:val="auto"/>
          <w:highlight w:val="none"/>
        </w:rPr>
      </w:pPr>
      <w:r>
        <w:rPr>
          <w:rFonts w:hint="eastAsia"/>
          <w:color w:val="auto"/>
          <w:highlight w:val="none"/>
        </w:rPr>
        <w:t>对于投资测算不准确风险、利率波动风险等影响项目收益的风险，项目相关机构将采取根据稳健性原则适当计入一定比例的不可预见费；定期对估算投资进行审核验证、调整；做好现金流监测，充分利用资金、做好还款计划和还款准备等措施予以控制。</w:t>
      </w:r>
    </w:p>
    <w:p w14:paraId="41D5DA12">
      <w:pPr>
        <w:pStyle w:val="14"/>
        <w:shd w:val="clear"/>
        <w:rPr>
          <w:color w:val="auto"/>
          <w:highlight w:val="none"/>
        </w:rPr>
      </w:pPr>
    </w:p>
    <w:p w14:paraId="0CB3C19B">
      <w:pPr>
        <w:shd w:val="clear"/>
        <w:spacing w:line="560" w:lineRule="exact"/>
        <w:ind w:firstLine="640"/>
        <w:rPr>
          <w:rFonts w:ascii="黑体" w:hAnsi="黑体" w:eastAsia="黑体"/>
          <w:color w:val="auto"/>
          <w:sz w:val="32"/>
          <w:szCs w:val="32"/>
          <w:highlight w:val="none"/>
        </w:rPr>
      </w:pPr>
      <w:r>
        <w:rPr>
          <w:rFonts w:hint="eastAsia" w:ascii="黑体" w:hAnsi="黑体" w:eastAsia="黑体"/>
          <w:color w:val="auto"/>
          <w:sz w:val="32"/>
          <w:szCs w:val="32"/>
          <w:highlight w:val="none"/>
        </w:rPr>
        <w:t>七、还款保障情况</w:t>
      </w:r>
    </w:p>
    <w:p w14:paraId="29EDFA0F">
      <w:pPr>
        <w:shd w:val="clear"/>
        <w:ind w:firstLine="480"/>
        <w:rPr>
          <w:rFonts w:hint="eastAsia"/>
          <w:color w:val="auto"/>
          <w:highlight w:val="none"/>
          <w:lang w:val="zh-CN"/>
        </w:rPr>
      </w:pPr>
      <w:r>
        <w:rPr>
          <w:rFonts w:hint="eastAsia"/>
          <w:color w:val="auto"/>
          <w:highlight w:val="none"/>
          <w:lang w:val="zh-CN"/>
        </w:rPr>
        <w:t>按照《国务院办公厅关于印发地方政府性债务风险应急处置预案的通知》（国办函〔</w:t>
      </w:r>
      <w:r>
        <w:rPr>
          <w:color w:val="auto"/>
          <w:highlight w:val="none"/>
          <w:lang w:val="zh-CN"/>
        </w:rPr>
        <w:t>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w:t>
      </w:r>
      <w:r>
        <w:rPr>
          <w:rFonts w:hint="eastAsia"/>
          <w:color w:val="auto"/>
          <w:highlight w:val="none"/>
          <w:lang w:val="zh-CN"/>
        </w:rPr>
        <w:t>扣回。</w:t>
      </w:r>
    </w:p>
    <w:p w14:paraId="5047F3B7">
      <w:pPr>
        <w:pStyle w:val="14"/>
        <w:shd w:val="clear"/>
        <w:rPr>
          <w:color w:val="auto"/>
          <w:highlight w:val="none"/>
          <w:lang w:val="zh-CN"/>
        </w:rPr>
      </w:pPr>
    </w:p>
    <w:p w14:paraId="474B1BDE">
      <w:pPr>
        <w:shd w:val="clear"/>
        <w:spacing w:line="560" w:lineRule="exact"/>
        <w:ind w:firstLine="640"/>
        <w:rPr>
          <w:rFonts w:ascii="黑体" w:hAnsi="黑体" w:eastAsia="黑体"/>
          <w:color w:val="auto"/>
          <w:sz w:val="32"/>
          <w:szCs w:val="32"/>
          <w:highlight w:val="none"/>
        </w:rPr>
      </w:pPr>
      <w:r>
        <w:rPr>
          <w:rFonts w:hint="eastAsia" w:ascii="黑体" w:hAnsi="黑体" w:eastAsia="黑体"/>
          <w:color w:val="auto"/>
          <w:sz w:val="32"/>
          <w:szCs w:val="32"/>
          <w:highlight w:val="none"/>
        </w:rPr>
        <w:t>八、主管部门职责和项目单位职责</w:t>
      </w:r>
    </w:p>
    <w:p w14:paraId="12F3981B">
      <w:pPr>
        <w:shd w:val="clear"/>
        <w:spacing w:line="560" w:lineRule="exact"/>
        <w:ind w:firstLine="643"/>
        <w:rPr>
          <w:rFonts w:ascii="楷体_GB2312" w:hAnsi="Calibri" w:eastAsia="楷体_GB2312"/>
          <w:b/>
          <w:color w:val="auto"/>
          <w:sz w:val="32"/>
          <w:szCs w:val="32"/>
          <w:highlight w:val="none"/>
        </w:rPr>
      </w:pPr>
      <w:r>
        <w:rPr>
          <w:rFonts w:hint="eastAsia" w:ascii="楷体_GB2312" w:hAnsi="Calibri" w:eastAsia="楷体_GB2312"/>
          <w:b/>
          <w:color w:val="auto"/>
          <w:sz w:val="32"/>
          <w:szCs w:val="32"/>
          <w:highlight w:val="none"/>
        </w:rPr>
        <w:t>（一）主管部门职责</w:t>
      </w:r>
    </w:p>
    <w:p w14:paraId="71112B77">
      <w:pPr>
        <w:shd w:val="clear"/>
        <w:ind w:firstLine="480"/>
        <w:rPr>
          <w:color w:val="auto"/>
          <w:highlight w:val="none"/>
        </w:rPr>
      </w:pPr>
      <w:r>
        <w:rPr>
          <w:rFonts w:hint="eastAsia"/>
          <w:color w:val="auto"/>
          <w:highlight w:val="none"/>
        </w:rPr>
        <w:t>本项目的主管部门是内江高新区城乡融合局，其职责为：</w:t>
      </w:r>
    </w:p>
    <w:p w14:paraId="5136DAF2">
      <w:pPr>
        <w:shd w:val="clear"/>
        <w:ind w:firstLine="480"/>
        <w:rPr>
          <w:color w:val="auto"/>
          <w:highlight w:val="none"/>
        </w:rPr>
      </w:pPr>
      <w:r>
        <w:rPr>
          <w:rFonts w:hint="eastAsia"/>
          <w:color w:val="auto"/>
          <w:highlight w:val="none"/>
        </w:rPr>
        <w:t>1</w:t>
      </w:r>
      <w:r>
        <w:rPr>
          <w:color w:val="auto"/>
          <w:highlight w:val="none"/>
        </w:rPr>
        <w:t>.</w:t>
      </w:r>
      <w:r>
        <w:rPr>
          <w:rFonts w:hint="eastAsia"/>
          <w:color w:val="auto"/>
          <w:highlight w:val="none"/>
        </w:rPr>
        <w:t>认真履行项目建设、运营和维护责任，确保项目如期建设、如期投入运营，早日实现持续稳定的收益。</w:t>
      </w:r>
    </w:p>
    <w:p w14:paraId="09AA8F68">
      <w:pPr>
        <w:shd w:val="clear"/>
        <w:ind w:firstLine="480"/>
        <w:rPr>
          <w:color w:val="auto"/>
          <w:highlight w:val="none"/>
        </w:rPr>
      </w:pPr>
      <w:r>
        <w:rPr>
          <w:rFonts w:hint="eastAsia"/>
          <w:color w:val="auto"/>
          <w:highlight w:val="none"/>
        </w:rPr>
        <w:t>2</w:t>
      </w:r>
      <w:r>
        <w:rPr>
          <w:color w:val="auto"/>
          <w:highlight w:val="none"/>
        </w:rPr>
        <w:t>.</w:t>
      </w:r>
      <w:r>
        <w:rPr>
          <w:rFonts w:hint="eastAsia"/>
          <w:color w:val="auto"/>
          <w:highlight w:val="none"/>
        </w:rPr>
        <w:t>监督指导建设运营主体规范使用本专项债券资金，对发现的违法违规资金使用进行严肃处理和责任追究。</w:t>
      </w:r>
    </w:p>
    <w:p w14:paraId="61FB0BB5">
      <w:pPr>
        <w:shd w:val="clear"/>
        <w:ind w:firstLine="480"/>
        <w:rPr>
          <w:color w:val="auto"/>
          <w:highlight w:val="none"/>
        </w:rPr>
      </w:pPr>
      <w:r>
        <w:rPr>
          <w:rFonts w:hint="eastAsia"/>
          <w:color w:val="auto"/>
          <w:highlight w:val="none"/>
        </w:rPr>
        <w:t>3</w:t>
      </w:r>
      <w:r>
        <w:rPr>
          <w:color w:val="auto"/>
          <w:highlight w:val="none"/>
        </w:rPr>
        <w:t>.</w:t>
      </w:r>
      <w:r>
        <w:rPr>
          <w:rFonts w:hint="eastAsia"/>
          <w:color w:val="auto"/>
          <w:highlight w:val="none"/>
        </w:rPr>
        <w:t>配合做好债券对应项目形成资产的登记管理工作，做好日常统计和动态监控；确保项目资产独立性和确认资产权益归属，严禁专项债券对应资产和权益用于为融资平台公司等企业融资提供担保和抵押，不对专项债券对应项目资产进行转移和划拨注入企业。</w:t>
      </w:r>
    </w:p>
    <w:p w14:paraId="182C0CFB">
      <w:pPr>
        <w:shd w:val="clear"/>
        <w:ind w:firstLine="480"/>
        <w:rPr>
          <w:color w:val="auto"/>
          <w:highlight w:val="none"/>
        </w:rPr>
      </w:pPr>
      <w:r>
        <w:rPr>
          <w:rFonts w:hint="eastAsia"/>
          <w:color w:val="auto"/>
          <w:highlight w:val="none"/>
        </w:rPr>
        <w:t>4</w:t>
      </w:r>
      <w:r>
        <w:rPr>
          <w:color w:val="auto"/>
          <w:highlight w:val="none"/>
        </w:rPr>
        <w:t>.</w:t>
      </w:r>
      <w:r>
        <w:rPr>
          <w:rFonts w:hint="eastAsia"/>
          <w:color w:val="auto"/>
          <w:highlight w:val="none"/>
        </w:rPr>
        <w:t>在门户网站等及时披露专项债券对应的项目概况、项目预期收益和融资平衡方案、专项债券规模和期限、发行计划安排、还本付息等信息。</w:t>
      </w:r>
    </w:p>
    <w:p w14:paraId="0A547168">
      <w:pPr>
        <w:shd w:val="clear"/>
        <w:spacing w:line="560" w:lineRule="exact"/>
        <w:ind w:firstLine="643"/>
        <w:rPr>
          <w:rFonts w:ascii="楷体_GB2312" w:hAnsi="Calibri" w:eastAsia="楷体_GB2312"/>
          <w:b/>
          <w:color w:val="auto"/>
          <w:sz w:val="32"/>
          <w:szCs w:val="32"/>
          <w:highlight w:val="none"/>
        </w:rPr>
      </w:pPr>
      <w:r>
        <w:rPr>
          <w:rFonts w:hint="eastAsia" w:ascii="楷体_GB2312" w:hAnsi="Calibri" w:eastAsia="楷体_GB2312"/>
          <w:b/>
          <w:color w:val="auto"/>
          <w:sz w:val="32"/>
          <w:szCs w:val="32"/>
          <w:highlight w:val="none"/>
        </w:rPr>
        <w:t>（二）项目单位职责</w:t>
      </w:r>
    </w:p>
    <w:p w14:paraId="23075E9D">
      <w:pPr>
        <w:shd w:val="clear"/>
        <w:ind w:firstLine="480"/>
        <w:rPr>
          <w:color w:val="auto"/>
          <w:highlight w:val="none"/>
        </w:rPr>
      </w:pPr>
      <w:r>
        <w:rPr>
          <w:rFonts w:hint="eastAsia"/>
          <w:color w:val="auto"/>
          <w:highlight w:val="none"/>
        </w:rPr>
        <w:t>本项目的业主单位是</w:t>
      </w:r>
      <w:r>
        <w:rPr>
          <w:rFonts w:hint="eastAsia"/>
          <w:color w:val="auto"/>
          <w:highlight w:val="none"/>
          <w:lang w:eastAsia="zh-CN"/>
        </w:rPr>
        <w:t>内江清溪源水业有限公司</w:t>
      </w:r>
      <w:r>
        <w:rPr>
          <w:rFonts w:hint="eastAsia"/>
          <w:color w:val="auto"/>
          <w:highlight w:val="none"/>
        </w:rPr>
        <w:t>，其职责为：</w:t>
      </w:r>
    </w:p>
    <w:p w14:paraId="51CDC47F">
      <w:pPr>
        <w:shd w:val="clear"/>
        <w:ind w:firstLine="480"/>
        <w:rPr>
          <w:color w:val="auto"/>
          <w:highlight w:val="none"/>
        </w:rPr>
      </w:pPr>
      <w:r>
        <w:rPr>
          <w:color w:val="auto"/>
          <w:highlight w:val="none"/>
        </w:rPr>
        <w:t>1.提出专项债券项目需求申请，编制报送项目实施方案及相关资料，配合做好债券发行准备。</w:t>
      </w:r>
    </w:p>
    <w:p w14:paraId="0720960E">
      <w:pPr>
        <w:shd w:val="clear"/>
        <w:ind w:firstLine="480"/>
        <w:rPr>
          <w:color w:val="auto"/>
          <w:highlight w:val="none"/>
        </w:rPr>
      </w:pPr>
      <w:r>
        <w:rPr>
          <w:color w:val="auto"/>
          <w:highlight w:val="none"/>
        </w:rPr>
        <w:t>2.规范使用债券资金，及时形成支出，提高资金使用效益。</w:t>
      </w:r>
    </w:p>
    <w:p w14:paraId="5BEEA970">
      <w:pPr>
        <w:shd w:val="clear"/>
        <w:ind w:firstLine="480"/>
        <w:rPr>
          <w:color w:val="auto"/>
          <w:highlight w:val="none"/>
        </w:rPr>
      </w:pPr>
      <w:r>
        <w:rPr>
          <w:color w:val="auto"/>
          <w:highlight w:val="none"/>
        </w:rPr>
        <w:t>3.定期评估项目成本、预期收益和对应资产价值等，发现风险或异常情况及时向主管部门报告。</w:t>
      </w:r>
    </w:p>
    <w:p w14:paraId="2D839760">
      <w:pPr>
        <w:shd w:val="clear"/>
        <w:ind w:firstLine="480"/>
        <w:rPr>
          <w:color w:val="auto"/>
          <w:highlight w:val="none"/>
        </w:rPr>
      </w:pPr>
      <w:r>
        <w:rPr>
          <w:color w:val="auto"/>
          <w:highlight w:val="none"/>
        </w:rPr>
        <w:t>4.向上级部门总结汇报项目实施情况，贯彻落实上级指示要求；研究解决项目实施中的其他重大问题。</w:t>
      </w:r>
    </w:p>
    <w:p w14:paraId="0874BAC8">
      <w:pPr>
        <w:shd w:val="clear"/>
        <w:spacing w:line="560" w:lineRule="exact"/>
        <w:ind w:firstLine="640"/>
        <w:rPr>
          <w:rFonts w:ascii="黑体" w:hAnsi="黑体" w:eastAsia="黑体"/>
          <w:color w:val="auto"/>
          <w:sz w:val="32"/>
          <w:szCs w:val="32"/>
          <w:highlight w:val="none"/>
        </w:rPr>
      </w:pPr>
      <w:r>
        <w:rPr>
          <w:rFonts w:hint="eastAsia" w:ascii="黑体" w:hAnsi="黑体" w:eastAsia="黑体"/>
          <w:color w:val="auto"/>
          <w:sz w:val="32"/>
          <w:szCs w:val="32"/>
          <w:highlight w:val="none"/>
        </w:rPr>
        <w:t>九、补充说明</w:t>
      </w:r>
    </w:p>
    <w:bookmarkEnd w:id="2"/>
    <w:p w14:paraId="0A056949">
      <w:pPr>
        <w:ind w:firstLine="480"/>
        <w:rPr>
          <w:color w:val="auto"/>
          <w:highlight w:val="none"/>
        </w:rPr>
      </w:pPr>
      <w:r>
        <w:rPr>
          <w:rFonts w:hint="eastAsia"/>
          <w:color w:val="auto"/>
        </w:rPr>
        <w:t>根据发行计划及额度安排</w:t>
      </w:r>
      <w:r>
        <w:rPr>
          <w:color w:val="auto"/>
        </w:rPr>
        <w:t>,此项目202</w:t>
      </w:r>
      <w:r>
        <w:rPr>
          <w:rFonts w:hint="eastAsia"/>
          <w:color w:val="auto"/>
          <w:lang w:val="en-US" w:eastAsia="zh-CN"/>
        </w:rPr>
        <w:t>6</w:t>
      </w:r>
      <w:r>
        <w:rPr>
          <w:color w:val="auto"/>
        </w:rPr>
        <w:t>年拟</w:t>
      </w:r>
      <w:r>
        <w:rPr>
          <w:rFonts w:hint="eastAsia"/>
          <w:color w:val="auto"/>
          <w:lang w:eastAsia="zh-CN"/>
        </w:rPr>
        <w:t>申报发行需求</w:t>
      </w:r>
      <w:r>
        <w:rPr>
          <w:rFonts w:hint="eastAsia"/>
          <w:color w:val="auto"/>
          <w:lang w:val="en-US" w:eastAsia="zh-CN"/>
        </w:rPr>
        <w:t>4</w:t>
      </w:r>
      <w:r>
        <w:rPr>
          <w:rFonts w:hint="eastAsia"/>
          <w:color w:val="auto"/>
        </w:rPr>
        <w:t>000.00</w:t>
      </w:r>
      <w:r>
        <w:rPr>
          <w:color w:val="auto"/>
        </w:rPr>
        <w:t>万元，本次拟</w:t>
      </w:r>
      <w:r>
        <w:rPr>
          <w:rFonts w:hint="eastAsia"/>
          <w:color w:val="auto"/>
          <w:lang w:eastAsia="zh-CN"/>
        </w:rPr>
        <w:t>承接2023年四川省城乡基础设施建设专项债券（十二期）-2023年四川省政府专项债券（十二期）调整资金</w:t>
      </w:r>
      <w:r>
        <w:rPr>
          <w:rFonts w:hint="eastAsia"/>
          <w:color w:val="auto"/>
          <w:lang w:val="en-US" w:eastAsia="zh-CN"/>
        </w:rPr>
        <w:t>4000.00</w:t>
      </w:r>
      <w:r>
        <w:rPr>
          <w:color w:val="auto"/>
        </w:rPr>
        <w:t>万元，期限</w:t>
      </w:r>
      <w:r>
        <w:rPr>
          <w:rFonts w:hint="eastAsia"/>
          <w:color w:val="auto"/>
          <w:lang w:val="en-US" w:eastAsia="zh-CN"/>
        </w:rPr>
        <w:t>20</w:t>
      </w:r>
      <w:r>
        <w:rPr>
          <w:color w:val="auto"/>
        </w:rPr>
        <w:t>年。</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70300B-E3E2-46EB-8448-4E048822B8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2252220-2D1F-4772-A0F6-140A5E341E56}"/>
  </w:font>
  <w:font w:name="仿宋_GB2312">
    <w:panose1 w:val="02010609030101010101"/>
    <w:charset w:val="86"/>
    <w:family w:val="modern"/>
    <w:pitch w:val="default"/>
    <w:sig w:usb0="00000001" w:usb1="080E0000" w:usb2="00000000" w:usb3="00000000" w:csb0="00040000" w:csb1="00000000"/>
    <w:embedRegular r:id="rId3" w:fontKey="{8572530C-7A60-4E15-80D4-1AB23EB50881}"/>
  </w:font>
  <w:font w:name="仿宋">
    <w:panose1 w:val="02010609060101010101"/>
    <w:charset w:val="86"/>
    <w:family w:val="auto"/>
    <w:pitch w:val="default"/>
    <w:sig w:usb0="800002BF" w:usb1="38CF7CFA" w:usb2="00000016" w:usb3="00000000" w:csb0="00040001" w:csb1="00000000"/>
    <w:embedRegular r:id="rId4" w:fontKey="{4D4CAE10-CCD8-4EA4-BD95-2BE6E3D09B70}"/>
  </w:font>
  <w:font w:name="楷体_GB2312">
    <w:panose1 w:val="02010609030101010101"/>
    <w:charset w:val="86"/>
    <w:family w:val="modern"/>
    <w:pitch w:val="default"/>
    <w:sig w:usb0="00000001" w:usb1="080E0000" w:usb2="00000000" w:usb3="00000000" w:csb0="00040000" w:csb1="00000000"/>
    <w:embedRegular r:id="rId5" w:fontKey="{812F7400-CFE9-4260-BBFE-DD912BE573AD}"/>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6" w:usb3="00000000" w:csb0="6006009F" w:csb1="DFD70000"/>
  </w:font>
  <w:font w:name="LF_Kai">
    <w:altName w:val="宋体"/>
    <w:panose1 w:val="00000000000000000000"/>
    <w:charset w:val="86"/>
    <w:family w:val="script"/>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PMingLiU">
    <w:altName w:val="Microsoft JhengHei"/>
    <w:panose1 w:val="02020500000000000000"/>
    <w:charset w:val="88"/>
    <w:family w:val="roman"/>
    <w:pitch w:val="default"/>
    <w:sig w:usb0="00000000" w:usb1="00000000" w:usb2="00000016" w:usb3="00000000" w:csb0="00100001" w:csb1="00000000"/>
  </w:font>
  <w:font w:name="PMingLiU-ExtB">
    <w:altName w:val="Microsoft JhengHei"/>
    <w:panose1 w:val="02020500000000000000"/>
    <w:charset w:val="88"/>
    <w:family w:val="auto"/>
    <w:pitch w:val="default"/>
    <w:sig w:usb0="00000000" w:usb1="00000000" w:usb2="00000000" w:usb3="00000000" w:csb0="00100001" w:csb1="00000000"/>
  </w:font>
  <w:font w:name="等线">
    <w:panose1 w:val="02010600030101010101"/>
    <w:charset w:val="86"/>
    <w:family w:val="auto"/>
    <w:pitch w:val="default"/>
    <w:sig w:usb0="A00002BF" w:usb1="38CF7CFA" w:usb2="00000016" w:usb3="00000000" w:csb0="0004000F" w:csb1="00000000"/>
    <w:embedRegular r:id="rId6" w:fontKey="{342A4235-0B82-43F7-91A0-C708380A7A1C}"/>
  </w:font>
  <w:font w:name="WPSEMBED1">
    <w:panose1 w:val="02010609030101010101"/>
    <w:charset w:val="86"/>
    <w:family w:val="auto"/>
    <w:pitch w:val="default"/>
    <w:sig w:usb0="00000001" w:usb1="080E0000" w:usb2="00000000" w:usb3="00000000" w:csb0="00040000" w:csb1="00000000"/>
  </w:font>
  <w:font w:name="Microsoft JhengHei">
    <w:panose1 w:val="020B0604030504040204"/>
    <w:charset w:val="88"/>
    <w:family w:val="auto"/>
    <w:pitch w:val="default"/>
    <w:sig w:usb0="00000087" w:usb1="28AF4000" w:usb2="00000016" w:usb3="00000000" w:csb0="00100009" w:csb1="00000000"/>
  </w:font>
  <w:font w:name="WPSEMBED2">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6B766">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F8F43">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3E8F1">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9B8C0">
    <w:pPr>
      <w:pStyle w:val="11"/>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5B3DD">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D3C60">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YTE5NGUwZTgzMmJhMGQxMmEzN2JjZjE5MzUzM2QifQ=="/>
  </w:docVars>
  <w:rsids>
    <w:rsidRoot w:val="00511187"/>
    <w:rsid w:val="00043975"/>
    <w:rsid w:val="000A65E8"/>
    <w:rsid w:val="000B29E5"/>
    <w:rsid w:val="000C0B8B"/>
    <w:rsid w:val="00120219"/>
    <w:rsid w:val="001206A9"/>
    <w:rsid w:val="00123FE8"/>
    <w:rsid w:val="001C7F88"/>
    <w:rsid w:val="002012C5"/>
    <w:rsid w:val="00247EB9"/>
    <w:rsid w:val="002729D2"/>
    <w:rsid w:val="00274E56"/>
    <w:rsid w:val="002A6411"/>
    <w:rsid w:val="002E3649"/>
    <w:rsid w:val="00312739"/>
    <w:rsid w:val="0031331F"/>
    <w:rsid w:val="00331FD0"/>
    <w:rsid w:val="00374629"/>
    <w:rsid w:val="00374D6A"/>
    <w:rsid w:val="003C421E"/>
    <w:rsid w:val="003C7CC3"/>
    <w:rsid w:val="003D7D79"/>
    <w:rsid w:val="00401F8C"/>
    <w:rsid w:val="004257C2"/>
    <w:rsid w:val="0049076A"/>
    <w:rsid w:val="004B190A"/>
    <w:rsid w:val="004B5CEC"/>
    <w:rsid w:val="004D1630"/>
    <w:rsid w:val="004D2345"/>
    <w:rsid w:val="00511187"/>
    <w:rsid w:val="0052526C"/>
    <w:rsid w:val="00567C25"/>
    <w:rsid w:val="00570174"/>
    <w:rsid w:val="005C58CA"/>
    <w:rsid w:val="005D2888"/>
    <w:rsid w:val="005E10DC"/>
    <w:rsid w:val="005F3057"/>
    <w:rsid w:val="00614B0B"/>
    <w:rsid w:val="00615028"/>
    <w:rsid w:val="00622204"/>
    <w:rsid w:val="006E6AA2"/>
    <w:rsid w:val="00723816"/>
    <w:rsid w:val="007676AB"/>
    <w:rsid w:val="007B6674"/>
    <w:rsid w:val="0081477F"/>
    <w:rsid w:val="00826303"/>
    <w:rsid w:val="008820AF"/>
    <w:rsid w:val="008C36B2"/>
    <w:rsid w:val="008F0FA3"/>
    <w:rsid w:val="00916B43"/>
    <w:rsid w:val="0093189A"/>
    <w:rsid w:val="00995942"/>
    <w:rsid w:val="009A6AEE"/>
    <w:rsid w:val="009B1077"/>
    <w:rsid w:val="009B3F55"/>
    <w:rsid w:val="00A804BE"/>
    <w:rsid w:val="00AB4F6E"/>
    <w:rsid w:val="00AB5163"/>
    <w:rsid w:val="00AF5F9F"/>
    <w:rsid w:val="00AF6C07"/>
    <w:rsid w:val="00B543D8"/>
    <w:rsid w:val="00B70CCC"/>
    <w:rsid w:val="00B86133"/>
    <w:rsid w:val="00BA785D"/>
    <w:rsid w:val="00BB73A5"/>
    <w:rsid w:val="00BC43D9"/>
    <w:rsid w:val="00BE1F42"/>
    <w:rsid w:val="00BE2F03"/>
    <w:rsid w:val="00C573EA"/>
    <w:rsid w:val="00C87C46"/>
    <w:rsid w:val="00CB2856"/>
    <w:rsid w:val="00CB70FF"/>
    <w:rsid w:val="00D15A74"/>
    <w:rsid w:val="00D21F92"/>
    <w:rsid w:val="00D67EAF"/>
    <w:rsid w:val="00DF0C98"/>
    <w:rsid w:val="00E03246"/>
    <w:rsid w:val="00E32881"/>
    <w:rsid w:val="00E52722"/>
    <w:rsid w:val="00E53CF2"/>
    <w:rsid w:val="00EA0719"/>
    <w:rsid w:val="00EA1B05"/>
    <w:rsid w:val="00EA3402"/>
    <w:rsid w:val="00EF6843"/>
    <w:rsid w:val="00EF7DF3"/>
    <w:rsid w:val="00F17B2C"/>
    <w:rsid w:val="00F614DA"/>
    <w:rsid w:val="00F62E2E"/>
    <w:rsid w:val="00F67CF9"/>
    <w:rsid w:val="00F85E3A"/>
    <w:rsid w:val="00F91DA4"/>
    <w:rsid w:val="00F949F3"/>
    <w:rsid w:val="00FB6832"/>
    <w:rsid w:val="00FC6E4C"/>
    <w:rsid w:val="00FD2A48"/>
    <w:rsid w:val="00FD5D0D"/>
    <w:rsid w:val="00FE67E4"/>
    <w:rsid w:val="01D11779"/>
    <w:rsid w:val="04826ABA"/>
    <w:rsid w:val="103565DA"/>
    <w:rsid w:val="11AF5665"/>
    <w:rsid w:val="14642729"/>
    <w:rsid w:val="17625D82"/>
    <w:rsid w:val="207612CA"/>
    <w:rsid w:val="28A36280"/>
    <w:rsid w:val="2FFD58B8"/>
    <w:rsid w:val="3A1B1FA5"/>
    <w:rsid w:val="3B2576B8"/>
    <w:rsid w:val="3E7E3A38"/>
    <w:rsid w:val="3EB06856"/>
    <w:rsid w:val="3FFD8044"/>
    <w:rsid w:val="532F7F75"/>
    <w:rsid w:val="5BE14117"/>
    <w:rsid w:val="5C074916"/>
    <w:rsid w:val="5D10497A"/>
    <w:rsid w:val="600F439D"/>
    <w:rsid w:val="63E65214"/>
    <w:rsid w:val="64E164B8"/>
    <w:rsid w:val="67011951"/>
    <w:rsid w:val="68237C7D"/>
    <w:rsid w:val="6C1B518B"/>
    <w:rsid w:val="6CC764CB"/>
    <w:rsid w:val="6F2C0820"/>
    <w:rsid w:val="738F3CB5"/>
    <w:rsid w:val="79FF8168"/>
    <w:rsid w:val="7E2D05C6"/>
    <w:rsid w:val="FEFB1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Calibri"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仿宋" w:hAnsi="仿宋" w:eastAsia="仿宋" w:cs="Times New Roman"/>
      <w:color w:val="000000"/>
      <w:kern w:val="2"/>
      <w:sz w:val="24"/>
      <w:szCs w:val="24"/>
      <w:lang w:val="en-US" w:eastAsia="zh-CN" w:bidi="ar-SA"/>
    </w:rPr>
  </w:style>
  <w:style w:type="paragraph" w:styleId="2">
    <w:name w:val="heading 1"/>
    <w:basedOn w:val="1"/>
    <w:next w:val="1"/>
    <w:link w:val="28"/>
    <w:qFormat/>
    <w:uiPriority w:val="9"/>
    <w:pPr>
      <w:spacing w:before="50" w:beforeLines="50" w:after="50" w:afterLines="50"/>
      <w:ind w:left="200" w:leftChars="200" w:firstLine="0" w:firstLineChars="0"/>
      <w:outlineLvl w:val="0"/>
    </w:pPr>
    <w:rPr>
      <w:rFonts w:ascii="黑体" w:eastAsia="黑体"/>
      <w:sz w:val="32"/>
    </w:rPr>
  </w:style>
  <w:style w:type="paragraph" w:styleId="3">
    <w:name w:val="heading 2"/>
    <w:basedOn w:val="1"/>
    <w:next w:val="1"/>
    <w:link w:val="29"/>
    <w:unhideWhenUsed/>
    <w:qFormat/>
    <w:uiPriority w:val="9"/>
    <w:pPr>
      <w:spacing w:before="50" w:beforeLines="50" w:after="50" w:afterLines="50"/>
      <w:ind w:left="200" w:leftChars="200" w:firstLine="0" w:firstLineChars="0"/>
      <w:outlineLvl w:val="1"/>
    </w:pPr>
    <w:rPr>
      <w:rFonts w:ascii="楷体_GB2312" w:eastAsia="楷体"/>
      <w:b/>
      <w:sz w:val="32"/>
    </w:rPr>
  </w:style>
  <w:style w:type="paragraph" w:styleId="4">
    <w:name w:val="heading 3"/>
    <w:basedOn w:val="1"/>
    <w:next w:val="1"/>
    <w:link w:val="30"/>
    <w:unhideWhenUsed/>
    <w:qFormat/>
    <w:uiPriority w:val="9"/>
    <w:pPr>
      <w:spacing w:before="50" w:beforeLines="50" w:after="50" w:afterLines="50"/>
      <w:ind w:left="200" w:leftChars="200" w:firstLine="0" w:firstLineChars="0"/>
      <w:outlineLvl w:val="2"/>
    </w:pPr>
    <w:rPr>
      <w:b/>
      <w:sz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unhideWhenUsed/>
    <w:qFormat/>
    <w:uiPriority w:val="99"/>
    <w:pPr>
      <w:jc w:val="left"/>
    </w:pPr>
  </w:style>
  <w:style w:type="paragraph" w:styleId="6">
    <w:name w:val="Body Text"/>
    <w:basedOn w:val="1"/>
    <w:next w:val="7"/>
    <w:link w:val="21"/>
    <w:qFormat/>
    <w:uiPriority w:val="99"/>
    <w:pPr>
      <w:adjustRightInd w:val="0"/>
      <w:snapToGrid w:val="0"/>
      <w:spacing w:before="150" w:after="150" w:line="264" w:lineRule="auto"/>
      <w:ind w:firstLine="567"/>
    </w:pPr>
    <w:rPr>
      <w:rFonts w:ascii="华文楷体" w:hAnsi="华文楷体" w:eastAsia="LF_Kai"/>
      <w:kern w:val="0"/>
      <w:szCs w:val="20"/>
      <w:lang w:val="en-GB"/>
    </w:rPr>
  </w:style>
  <w:style w:type="paragraph" w:styleId="7">
    <w:name w:val="toc 1"/>
    <w:basedOn w:val="1"/>
    <w:next w:val="1"/>
    <w:qFormat/>
    <w:uiPriority w:val="39"/>
    <w:pPr>
      <w:tabs>
        <w:tab w:val="left" w:pos="540"/>
        <w:tab w:val="right" w:leader="dot" w:pos="8296"/>
      </w:tabs>
      <w:adjustRightInd w:val="0"/>
      <w:snapToGrid w:val="0"/>
      <w:spacing w:before="120" w:after="120"/>
    </w:pPr>
    <w:rPr>
      <w:rFonts w:ascii="Calibri" w:hAnsi="Calibri" w:eastAsia="仿宋_GB2312" w:cs="Calibri"/>
      <w:b/>
      <w:bCs/>
      <w:caps/>
      <w:sz w:val="28"/>
      <w:szCs w:val="28"/>
    </w:rPr>
  </w:style>
  <w:style w:type="paragraph" w:styleId="8">
    <w:name w:val="Body Text Indent"/>
    <w:basedOn w:val="1"/>
    <w:next w:val="1"/>
    <w:unhideWhenUsed/>
    <w:qFormat/>
    <w:uiPriority w:val="99"/>
    <w:pPr>
      <w:spacing w:after="120"/>
      <w:ind w:left="420" w:leftChars="200" w:firstLine="504"/>
    </w:pPr>
  </w:style>
  <w:style w:type="paragraph" w:styleId="9">
    <w:name w:val="Balloon Text"/>
    <w:basedOn w:val="1"/>
    <w:link w:val="24"/>
    <w:semiHidden/>
    <w:unhideWhenUsed/>
    <w:qFormat/>
    <w:uiPriority w:val="99"/>
    <w:rPr>
      <w:sz w:val="18"/>
      <w:szCs w:val="18"/>
    </w:rPr>
  </w:style>
  <w:style w:type="paragraph" w:styleId="10">
    <w:name w:val="footer"/>
    <w:basedOn w:val="1"/>
    <w:link w:val="26"/>
    <w:unhideWhenUsed/>
    <w:qFormat/>
    <w:uiPriority w:val="99"/>
    <w:pPr>
      <w:tabs>
        <w:tab w:val="center" w:pos="4153"/>
        <w:tab w:val="right" w:pos="8306"/>
      </w:tabs>
      <w:snapToGrid w:val="0"/>
      <w:jc w:val="left"/>
    </w:pPr>
    <w:rPr>
      <w:sz w:val="18"/>
      <w:szCs w:val="18"/>
    </w:rPr>
  </w:style>
  <w:style w:type="paragraph" w:styleId="11">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itle"/>
    <w:basedOn w:val="1"/>
    <w:next w:val="1"/>
    <w:link w:val="27"/>
    <w:qFormat/>
    <w:uiPriority w:val="10"/>
    <w:pPr>
      <w:spacing w:before="156" w:beforeLines="50" w:after="312" w:afterLines="100"/>
      <w:ind w:firstLine="0" w:firstLineChars="0"/>
      <w:jc w:val="center"/>
    </w:pPr>
    <w:rPr>
      <w:rFonts w:ascii="方正小标宋简体" w:hAnsi="Calibri" w:eastAsia="方正小标宋简体"/>
      <w:sz w:val="40"/>
      <w:szCs w:val="40"/>
    </w:rPr>
  </w:style>
  <w:style w:type="paragraph" w:styleId="13">
    <w:name w:val="annotation subject"/>
    <w:basedOn w:val="5"/>
    <w:next w:val="5"/>
    <w:link w:val="23"/>
    <w:semiHidden/>
    <w:unhideWhenUsed/>
    <w:qFormat/>
    <w:uiPriority w:val="99"/>
    <w:rPr>
      <w:b/>
      <w:bCs/>
    </w:rPr>
  </w:style>
  <w:style w:type="paragraph" w:styleId="14">
    <w:name w:val="Body Text First Indent"/>
    <w:basedOn w:val="6"/>
    <w:next w:val="1"/>
    <w:unhideWhenUsed/>
    <w:qFormat/>
    <w:uiPriority w:val="99"/>
    <w:pPr>
      <w:spacing w:before="0" w:after="120" w:line="240" w:lineRule="auto"/>
      <w:ind w:firstLine="420" w:firstLineChars="100"/>
    </w:pPr>
    <w:rPr>
      <w:rFonts w:ascii="Times New Roman" w:hAnsi="Times New Roman" w:eastAsia="宋体"/>
      <w:sz w:val="21"/>
      <w:szCs w:val="24"/>
      <w:lang w:val="en-US"/>
    </w:rPr>
  </w:style>
  <w:style w:type="paragraph" w:styleId="15">
    <w:name w:val="Body Text First Indent 2"/>
    <w:basedOn w:val="8"/>
    <w:next w:val="1"/>
    <w:qFormat/>
    <w:uiPriority w:val="0"/>
    <w:pPr>
      <w:ind w:firstLine="420" w:firstLineChars="200"/>
    </w:pPr>
    <w:rPr>
      <w:sz w:val="30"/>
    </w:rPr>
  </w:style>
  <w:style w:type="character" w:styleId="18">
    <w:name w:val="annotation reference"/>
    <w:basedOn w:val="17"/>
    <w:semiHidden/>
    <w:unhideWhenUsed/>
    <w:qFormat/>
    <w:uiPriority w:val="99"/>
    <w:rPr>
      <w:sz w:val="21"/>
      <w:szCs w:val="21"/>
    </w:rPr>
  </w:style>
  <w:style w:type="character" w:customStyle="1" w:styleId="19">
    <w:name w:val="Body text|2_"/>
    <w:link w:val="20"/>
    <w:qFormat/>
    <w:uiPriority w:val="0"/>
    <w:rPr>
      <w:rFonts w:ascii="PMingLiU" w:hAnsi="PMingLiU" w:eastAsia="PMingLiU" w:cs="PMingLiU"/>
      <w:sz w:val="22"/>
      <w:shd w:val="clear" w:color="auto" w:fill="FFFFFF"/>
    </w:rPr>
  </w:style>
  <w:style w:type="paragraph" w:customStyle="1" w:styleId="20">
    <w:name w:val="Body text|2"/>
    <w:basedOn w:val="1"/>
    <w:link w:val="19"/>
    <w:qFormat/>
    <w:uiPriority w:val="0"/>
    <w:pPr>
      <w:shd w:val="clear" w:color="auto" w:fill="FFFFFF"/>
      <w:spacing w:after="100" w:line="220" w:lineRule="exact"/>
      <w:jc w:val="left"/>
    </w:pPr>
    <w:rPr>
      <w:rFonts w:ascii="PMingLiU" w:hAnsi="PMingLiU" w:eastAsia="PMingLiU" w:cs="PMingLiU"/>
      <w:sz w:val="22"/>
    </w:rPr>
  </w:style>
  <w:style w:type="character" w:customStyle="1" w:styleId="21">
    <w:name w:val="正文文本 字符"/>
    <w:basedOn w:val="17"/>
    <w:link w:val="6"/>
    <w:qFormat/>
    <w:uiPriority w:val="99"/>
    <w:rPr>
      <w:rFonts w:ascii="华文楷体" w:hAnsi="华文楷体" w:eastAsia="LF_Kai" w:cs="Times New Roman"/>
      <w:kern w:val="0"/>
      <w:sz w:val="24"/>
      <w:szCs w:val="20"/>
      <w:lang w:val="en-GB"/>
    </w:rPr>
  </w:style>
  <w:style w:type="character" w:customStyle="1" w:styleId="22">
    <w:name w:val="批注文字 字符"/>
    <w:basedOn w:val="17"/>
    <w:link w:val="5"/>
    <w:qFormat/>
    <w:uiPriority w:val="99"/>
  </w:style>
  <w:style w:type="character" w:customStyle="1" w:styleId="23">
    <w:name w:val="批注主题 字符"/>
    <w:basedOn w:val="22"/>
    <w:link w:val="13"/>
    <w:semiHidden/>
    <w:qFormat/>
    <w:uiPriority w:val="99"/>
    <w:rPr>
      <w:b/>
      <w:bCs/>
    </w:rPr>
  </w:style>
  <w:style w:type="character" w:customStyle="1" w:styleId="24">
    <w:name w:val="批注框文本 字符"/>
    <w:basedOn w:val="17"/>
    <w:link w:val="9"/>
    <w:semiHidden/>
    <w:qFormat/>
    <w:uiPriority w:val="99"/>
    <w:rPr>
      <w:sz w:val="18"/>
      <w:szCs w:val="18"/>
    </w:rPr>
  </w:style>
  <w:style w:type="character" w:customStyle="1" w:styleId="25">
    <w:name w:val="页眉 字符"/>
    <w:basedOn w:val="17"/>
    <w:link w:val="11"/>
    <w:qFormat/>
    <w:uiPriority w:val="99"/>
    <w:rPr>
      <w:sz w:val="18"/>
      <w:szCs w:val="18"/>
    </w:rPr>
  </w:style>
  <w:style w:type="character" w:customStyle="1" w:styleId="26">
    <w:name w:val="页脚 字符"/>
    <w:basedOn w:val="17"/>
    <w:link w:val="10"/>
    <w:qFormat/>
    <w:uiPriority w:val="99"/>
    <w:rPr>
      <w:sz w:val="18"/>
      <w:szCs w:val="18"/>
    </w:rPr>
  </w:style>
  <w:style w:type="character" w:customStyle="1" w:styleId="27">
    <w:name w:val="标题 字符"/>
    <w:basedOn w:val="17"/>
    <w:link w:val="12"/>
    <w:qFormat/>
    <w:uiPriority w:val="10"/>
    <w:rPr>
      <w:rFonts w:ascii="方正小标宋简体" w:eastAsia="方正小标宋简体"/>
      <w:color w:val="000000"/>
      <w:kern w:val="2"/>
      <w:sz w:val="40"/>
      <w:szCs w:val="40"/>
    </w:rPr>
  </w:style>
  <w:style w:type="character" w:customStyle="1" w:styleId="28">
    <w:name w:val="标题 1 字符"/>
    <w:basedOn w:val="17"/>
    <w:link w:val="2"/>
    <w:qFormat/>
    <w:uiPriority w:val="9"/>
    <w:rPr>
      <w:rFonts w:ascii="黑体" w:hAnsi="仿宋" w:eastAsia="黑体"/>
      <w:color w:val="000000"/>
      <w:kern w:val="2"/>
      <w:sz w:val="32"/>
      <w:szCs w:val="24"/>
    </w:rPr>
  </w:style>
  <w:style w:type="character" w:customStyle="1" w:styleId="29">
    <w:name w:val="标题 2 字符"/>
    <w:basedOn w:val="17"/>
    <w:link w:val="3"/>
    <w:qFormat/>
    <w:uiPriority w:val="9"/>
    <w:rPr>
      <w:rFonts w:ascii="楷体_GB2312" w:hAnsi="仿宋" w:eastAsia="楷体"/>
      <w:b/>
      <w:color w:val="000000"/>
      <w:kern w:val="2"/>
      <w:sz w:val="32"/>
      <w:szCs w:val="24"/>
    </w:rPr>
  </w:style>
  <w:style w:type="character" w:customStyle="1" w:styleId="30">
    <w:name w:val="标题 3 字符"/>
    <w:basedOn w:val="17"/>
    <w:link w:val="4"/>
    <w:qFormat/>
    <w:uiPriority w:val="9"/>
    <w:rPr>
      <w:rFonts w:ascii="仿宋" w:hAnsi="仿宋" w:eastAsia="仿宋"/>
      <w:b/>
      <w:color w:val="000000"/>
      <w:kern w:val="2"/>
      <w:sz w:val="32"/>
      <w:szCs w:val="24"/>
    </w:rPr>
  </w:style>
  <w:style w:type="paragraph" w:customStyle="1" w:styleId="31">
    <w:name w:val="表格标题"/>
    <w:basedOn w:val="1"/>
    <w:link w:val="33"/>
    <w:qFormat/>
    <w:uiPriority w:val="0"/>
    <w:pPr>
      <w:ind w:firstLine="0" w:firstLineChars="0"/>
      <w:jc w:val="center"/>
    </w:pPr>
    <w:rPr>
      <w:b/>
      <w:sz w:val="21"/>
    </w:rPr>
  </w:style>
  <w:style w:type="paragraph" w:customStyle="1" w:styleId="32">
    <w:name w:val="表格内容"/>
    <w:basedOn w:val="1"/>
    <w:link w:val="35"/>
    <w:qFormat/>
    <w:uiPriority w:val="0"/>
    <w:pPr>
      <w:spacing w:line="240" w:lineRule="auto"/>
      <w:ind w:firstLine="0" w:firstLineChars="0"/>
      <w:jc w:val="center"/>
    </w:pPr>
    <w:rPr>
      <w:sz w:val="21"/>
      <w:szCs w:val="21"/>
    </w:rPr>
  </w:style>
  <w:style w:type="character" w:customStyle="1" w:styleId="33">
    <w:name w:val="表格标题 字符"/>
    <w:basedOn w:val="17"/>
    <w:link w:val="31"/>
    <w:qFormat/>
    <w:uiPriority w:val="0"/>
    <w:rPr>
      <w:rFonts w:ascii="仿宋" w:hAnsi="仿宋" w:eastAsia="仿宋"/>
      <w:b/>
      <w:color w:val="000000"/>
      <w:kern w:val="2"/>
      <w:sz w:val="21"/>
      <w:szCs w:val="24"/>
    </w:rPr>
  </w:style>
  <w:style w:type="paragraph" w:customStyle="1" w:styleId="34">
    <w:name w:val="表格内容2"/>
    <w:basedOn w:val="32"/>
    <w:link w:val="36"/>
    <w:qFormat/>
    <w:uiPriority w:val="0"/>
    <w:rPr>
      <w:sz w:val="16"/>
      <w:szCs w:val="16"/>
    </w:rPr>
  </w:style>
  <w:style w:type="character" w:customStyle="1" w:styleId="35">
    <w:name w:val="表格内容 字符"/>
    <w:basedOn w:val="17"/>
    <w:link w:val="32"/>
    <w:qFormat/>
    <w:uiPriority w:val="0"/>
    <w:rPr>
      <w:rFonts w:ascii="仿宋" w:hAnsi="仿宋" w:eastAsia="仿宋"/>
      <w:color w:val="000000"/>
      <w:kern w:val="2"/>
      <w:sz w:val="21"/>
      <w:szCs w:val="21"/>
    </w:rPr>
  </w:style>
  <w:style w:type="character" w:customStyle="1" w:styleId="36">
    <w:name w:val="表格内容2 字符"/>
    <w:basedOn w:val="35"/>
    <w:link w:val="34"/>
    <w:qFormat/>
    <w:uiPriority w:val="0"/>
    <w:rPr>
      <w:rFonts w:ascii="仿宋" w:hAnsi="仿宋" w:eastAsia="仿宋"/>
      <w:color w:val="000000"/>
      <w:kern w:val="2"/>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2887</Words>
  <Characters>3259</Characters>
  <Lines>104</Lines>
  <Paragraphs>29</Paragraphs>
  <TotalTime>1</TotalTime>
  <ScaleCrop>false</ScaleCrop>
  <LinksUpToDate>false</LinksUpToDate>
  <CharactersWithSpaces>3259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2021-05-25T18:34:00Z</dcterms:created>
  <dc:creator>1124053244@qq.com</dc:creator>
  <cp:lastModifiedBy>我是维尼强心脏。</cp:lastModifiedBy>
  <cp:lastPrinted>2026-05-08T08:55:32Z</cp:lastPrinted>
  <dcterms:modified xsi:type="dcterms:W3CDTF">2026-05-08T08:55:40Z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4B62EB86364F486D8CF870184A3D8576</vt:lpwstr>
  </property>
  <property fmtid="{D5CDD505-2E9C-101B-9397-08002B2CF9AE}" pid="4" name="KSOTemplateDocerSaveRecord">
    <vt:lpwstr>eyJoZGlkIjoiMDJlN2RkMjFhYWQzMGEzZGE0YTdiZjk4NzJkNzFhNGIiLCJ1c2VySWQiOiIzMTM4MzYxNzUifQ==</vt:lpwstr>
  </property>
</Properties>
</file>